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869A5" w14:textId="77777777" w:rsidR="005A0908" w:rsidRDefault="005A0908">
      <w:pPr>
        <w:jc w:val="left"/>
        <w:rPr>
          <w:sz w:val="22"/>
          <w:szCs w:val="22"/>
        </w:rPr>
      </w:pPr>
      <w:bookmarkStart w:id="0" w:name="_GoBack"/>
      <w:bookmarkEnd w:id="0"/>
    </w:p>
    <w:p w14:paraId="1F79B45D" w14:textId="77777777" w:rsidR="005A0908" w:rsidRDefault="005A0908">
      <w:pPr>
        <w:jc w:val="left"/>
        <w:rPr>
          <w:sz w:val="22"/>
          <w:szCs w:val="22"/>
        </w:rPr>
      </w:pPr>
    </w:p>
    <w:p w14:paraId="1B0909F6" w14:textId="77777777" w:rsidR="005A0908" w:rsidRDefault="001832EC">
      <w:pPr>
        <w:ind w:left="3729"/>
        <w:jc w:val="left"/>
        <w:rPr>
          <w:sz w:val="22"/>
          <w:szCs w:val="22"/>
        </w:rPr>
      </w:pPr>
      <w:r>
        <w:rPr>
          <w:noProof/>
          <w:color w:val="000000"/>
          <w:sz w:val="22"/>
          <w:szCs w:val="22"/>
        </w:rPr>
        <w:drawing>
          <wp:inline distT="0" distB="0" distL="0" distR="0" wp14:anchorId="2349F8C8" wp14:editId="67D9E3D3">
            <wp:extent cx="1028700" cy="1085850"/>
            <wp:effectExtent l="0" t="0" r="0" b="0"/>
            <wp:docPr id="2" name="image2.png" descr="https://lh7-us.googleusercontent.com/tBkYwSoHrHfhQQiXbuKruFRCTmIFK74RIan-5624zlXaRE6cZ-8AHnAKJZ8ca6zHm0Y4v21zr1osU8jYZ6oPpBvPgMOaN-4VLqND7Y53oCzoQr2FNEpLPhhw5wIA7garVKMDfQMyXn966xfDml-s8g"/>
            <wp:cNvGraphicFramePr/>
            <a:graphic xmlns:a="http://schemas.openxmlformats.org/drawingml/2006/main">
              <a:graphicData uri="http://schemas.openxmlformats.org/drawingml/2006/picture">
                <pic:pic xmlns:pic="http://schemas.openxmlformats.org/drawingml/2006/picture">
                  <pic:nvPicPr>
                    <pic:cNvPr id="0" name="image2.png" descr="https://lh7-us.googleusercontent.com/tBkYwSoHrHfhQQiXbuKruFRCTmIFK74RIan-5624zlXaRE6cZ-8AHnAKJZ8ca6zHm0Y4v21zr1osU8jYZ6oPpBvPgMOaN-4VLqND7Y53oCzoQr2FNEpLPhhw5wIA7garVKMDfQMyXn966xfDml-s8g"/>
                    <pic:cNvPicPr preferRelativeResize="0"/>
                  </pic:nvPicPr>
                  <pic:blipFill>
                    <a:blip r:embed="rId7"/>
                    <a:srcRect/>
                    <a:stretch>
                      <a:fillRect/>
                    </a:stretch>
                  </pic:blipFill>
                  <pic:spPr>
                    <a:xfrm>
                      <a:off x="0" y="0"/>
                      <a:ext cx="1028700" cy="1085850"/>
                    </a:xfrm>
                    <a:prstGeom prst="rect">
                      <a:avLst/>
                    </a:prstGeom>
                    <a:ln/>
                  </pic:spPr>
                </pic:pic>
              </a:graphicData>
            </a:graphic>
          </wp:inline>
        </w:drawing>
      </w:r>
    </w:p>
    <w:p w14:paraId="44CFE25B" w14:textId="77777777" w:rsidR="005A0908" w:rsidRDefault="001832EC">
      <w:pPr>
        <w:spacing w:after="240"/>
        <w:ind w:left="708" w:firstLine="720"/>
        <w:jc w:val="left"/>
        <w:rPr>
          <w:b/>
          <w:sz w:val="22"/>
          <w:szCs w:val="22"/>
        </w:rPr>
      </w:pPr>
      <w:r>
        <w:rPr>
          <w:sz w:val="22"/>
          <w:szCs w:val="22"/>
        </w:rPr>
        <w:br/>
      </w:r>
      <w:r>
        <w:rPr>
          <w:sz w:val="22"/>
          <w:szCs w:val="22"/>
        </w:rPr>
        <w:br/>
      </w:r>
      <w:r>
        <w:rPr>
          <w:sz w:val="22"/>
          <w:szCs w:val="22"/>
        </w:rPr>
        <w:tab/>
      </w:r>
      <w:r>
        <w:rPr>
          <w:b/>
          <w:color w:val="000000"/>
          <w:sz w:val="22"/>
          <w:szCs w:val="22"/>
        </w:rPr>
        <w:t xml:space="preserve">PARA: </w:t>
      </w:r>
      <w:r>
        <w:rPr>
          <w:b/>
          <w:sz w:val="22"/>
          <w:szCs w:val="22"/>
        </w:rPr>
        <w:t xml:space="preserve"> DAVID ANDRÉS GIRALDO UMBARILA  </w:t>
      </w:r>
      <w:r>
        <w:rPr>
          <w:sz w:val="22"/>
          <w:szCs w:val="22"/>
        </w:rPr>
        <w:br/>
      </w:r>
      <w:r>
        <w:rPr>
          <w:sz w:val="22"/>
          <w:szCs w:val="22"/>
        </w:rPr>
        <w:tab/>
      </w:r>
      <w:r>
        <w:rPr>
          <w:color w:val="000000"/>
          <w:sz w:val="22"/>
          <w:szCs w:val="22"/>
        </w:rPr>
        <w:t>Subsecretari</w:t>
      </w:r>
      <w:r>
        <w:rPr>
          <w:sz w:val="22"/>
          <w:szCs w:val="22"/>
        </w:rPr>
        <w:t>o</w:t>
      </w:r>
      <w:r>
        <w:rPr>
          <w:color w:val="000000"/>
          <w:sz w:val="22"/>
          <w:szCs w:val="22"/>
        </w:rPr>
        <w:t xml:space="preserve"> Comisión </w:t>
      </w:r>
      <w:r>
        <w:rPr>
          <w:sz w:val="22"/>
          <w:szCs w:val="22"/>
        </w:rPr>
        <w:t>Primera</w:t>
      </w:r>
      <w:r>
        <w:rPr>
          <w:color w:val="000000"/>
          <w:sz w:val="22"/>
          <w:szCs w:val="22"/>
        </w:rPr>
        <w:t xml:space="preserve"> Permanente de</w:t>
      </w:r>
      <w:r>
        <w:rPr>
          <w:sz w:val="22"/>
          <w:szCs w:val="22"/>
        </w:rPr>
        <w:t>l Plan de Desarrollo y Ordenamiento            Territorial</w:t>
      </w:r>
    </w:p>
    <w:p w14:paraId="762B9B8A" w14:textId="77777777" w:rsidR="005A0908" w:rsidRDefault="001832EC">
      <w:pPr>
        <w:jc w:val="left"/>
        <w:rPr>
          <w:sz w:val="22"/>
          <w:szCs w:val="22"/>
        </w:rPr>
      </w:pPr>
      <w:r>
        <w:rPr>
          <w:sz w:val="22"/>
          <w:szCs w:val="22"/>
        </w:rPr>
        <w:tab/>
      </w:r>
    </w:p>
    <w:p w14:paraId="01FAFF36" w14:textId="77777777" w:rsidR="005A0908" w:rsidRDefault="001832EC">
      <w:pPr>
        <w:ind w:right="60" w:firstLine="720"/>
        <w:jc w:val="left"/>
        <w:rPr>
          <w:b/>
          <w:sz w:val="22"/>
          <w:szCs w:val="22"/>
        </w:rPr>
      </w:pPr>
      <w:r>
        <w:rPr>
          <w:b/>
          <w:color w:val="000000"/>
          <w:sz w:val="22"/>
          <w:szCs w:val="22"/>
        </w:rPr>
        <w:t>DE:  H.C. ÓSCAR JAIME RAMÍREZ VAHOS</w:t>
      </w:r>
    </w:p>
    <w:p w14:paraId="151D7AAF" w14:textId="77777777" w:rsidR="005A0908" w:rsidRDefault="001832EC">
      <w:pPr>
        <w:ind w:right="60"/>
        <w:jc w:val="left"/>
        <w:rPr>
          <w:b/>
          <w:sz w:val="22"/>
          <w:szCs w:val="22"/>
        </w:rPr>
      </w:pPr>
      <w:r>
        <w:rPr>
          <w:b/>
          <w:color w:val="000000"/>
          <w:sz w:val="22"/>
          <w:szCs w:val="22"/>
        </w:rPr>
        <w:t>       </w:t>
      </w:r>
    </w:p>
    <w:p w14:paraId="26F84AAB" w14:textId="77777777" w:rsidR="005A0908" w:rsidRDefault="005A0908">
      <w:pPr>
        <w:ind w:right="60"/>
        <w:jc w:val="left"/>
        <w:rPr>
          <w:b/>
          <w:sz w:val="22"/>
          <w:szCs w:val="22"/>
        </w:rPr>
      </w:pPr>
    </w:p>
    <w:p w14:paraId="1E554A5B" w14:textId="77777777" w:rsidR="005A0908" w:rsidRDefault="001832EC">
      <w:pPr>
        <w:spacing w:before="92"/>
        <w:ind w:right="60" w:firstLine="720"/>
        <w:rPr>
          <w:b/>
          <w:color w:val="000000"/>
          <w:sz w:val="22"/>
          <w:szCs w:val="22"/>
        </w:rPr>
      </w:pPr>
      <w:r>
        <w:rPr>
          <w:b/>
          <w:color w:val="000000"/>
          <w:sz w:val="22"/>
          <w:szCs w:val="22"/>
        </w:rPr>
        <w:t xml:space="preserve">ASUNTO: </w:t>
      </w:r>
      <w:r>
        <w:rPr>
          <w:sz w:val="22"/>
          <w:szCs w:val="22"/>
        </w:rPr>
        <w:t>Ponencia Proyecto de Acuerdo No. 510 de 2025</w:t>
      </w:r>
    </w:p>
    <w:p w14:paraId="49123C6E" w14:textId="77777777" w:rsidR="005A0908" w:rsidRDefault="005A0908">
      <w:pPr>
        <w:jc w:val="left"/>
        <w:rPr>
          <w:sz w:val="22"/>
          <w:szCs w:val="22"/>
        </w:rPr>
      </w:pPr>
    </w:p>
    <w:p w14:paraId="5BA52AB7" w14:textId="77777777" w:rsidR="005A0908" w:rsidRDefault="005A0908">
      <w:pPr>
        <w:spacing w:before="92"/>
        <w:ind w:right="60"/>
        <w:rPr>
          <w:b/>
          <w:sz w:val="22"/>
          <w:szCs w:val="22"/>
        </w:rPr>
      </w:pPr>
    </w:p>
    <w:p w14:paraId="6A6497C1" w14:textId="77777777" w:rsidR="005A0908" w:rsidRDefault="001832EC">
      <w:pPr>
        <w:spacing w:before="92"/>
        <w:ind w:right="60" w:firstLine="720"/>
        <w:rPr>
          <w:color w:val="000000"/>
          <w:sz w:val="22"/>
          <w:szCs w:val="22"/>
        </w:rPr>
      </w:pPr>
      <w:r>
        <w:rPr>
          <w:color w:val="000000"/>
          <w:sz w:val="22"/>
          <w:szCs w:val="22"/>
        </w:rPr>
        <w:t>Respetad</w:t>
      </w:r>
      <w:r>
        <w:rPr>
          <w:sz w:val="22"/>
          <w:szCs w:val="22"/>
        </w:rPr>
        <w:t>o</w:t>
      </w:r>
      <w:r>
        <w:rPr>
          <w:color w:val="000000"/>
          <w:sz w:val="22"/>
          <w:szCs w:val="22"/>
        </w:rPr>
        <w:t xml:space="preserve"> </w:t>
      </w:r>
      <w:r>
        <w:rPr>
          <w:sz w:val="22"/>
          <w:szCs w:val="22"/>
        </w:rPr>
        <w:t>S</w:t>
      </w:r>
      <w:r>
        <w:rPr>
          <w:color w:val="000000"/>
          <w:sz w:val="22"/>
          <w:szCs w:val="22"/>
        </w:rPr>
        <w:t>ecretari</w:t>
      </w:r>
      <w:r>
        <w:rPr>
          <w:sz w:val="22"/>
          <w:szCs w:val="22"/>
        </w:rPr>
        <w:t>o</w:t>
      </w:r>
      <w:r>
        <w:rPr>
          <w:color w:val="000000"/>
          <w:sz w:val="22"/>
          <w:szCs w:val="22"/>
        </w:rPr>
        <w:t>:</w:t>
      </w:r>
    </w:p>
    <w:p w14:paraId="301EA8D2" w14:textId="77777777" w:rsidR="005A0908" w:rsidRDefault="005A0908">
      <w:pPr>
        <w:spacing w:before="92"/>
        <w:ind w:right="60"/>
        <w:rPr>
          <w:sz w:val="22"/>
          <w:szCs w:val="22"/>
        </w:rPr>
      </w:pPr>
    </w:p>
    <w:p w14:paraId="233F54BC" w14:textId="77777777" w:rsidR="005A0908" w:rsidRDefault="001832EC">
      <w:pPr>
        <w:spacing w:before="92"/>
        <w:ind w:left="720" w:right="60"/>
        <w:rPr>
          <w:i/>
          <w:sz w:val="22"/>
          <w:szCs w:val="22"/>
        </w:rPr>
      </w:pPr>
      <w:r>
        <w:rPr>
          <w:sz w:val="22"/>
          <w:szCs w:val="22"/>
        </w:rPr>
        <w:t>Atendiendo la designación efectuada por la Mesa Directiva del Concejo de Bogotá y encontrándonos dentro del término reglamentario conforme a lo dispuesto en los artículos 68 y 71 del Acuerdo 741 de 2019, se presenta ponencia para pri</w:t>
      </w:r>
      <w:r>
        <w:rPr>
          <w:sz w:val="22"/>
          <w:szCs w:val="22"/>
        </w:rPr>
        <w:t xml:space="preserve">mer debate al Proyecto de Acuerdo No. 510 de 2025 </w:t>
      </w:r>
      <w:r>
        <w:rPr>
          <w:i/>
          <w:sz w:val="22"/>
          <w:szCs w:val="22"/>
        </w:rPr>
        <w:t>“Por medio del cual se fortalecen estrategias pedagógicas y de comunicación, enfocadas al aprovechamiento de agua lluvia y reciclaje de aguas domésticas en la ciudad de Bogotá”.</w:t>
      </w:r>
    </w:p>
    <w:p w14:paraId="4FA27EF9" w14:textId="77777777" w:rsidR="005A0908" w:rsidRDefault="005A0908">
      <w:pPr>
        <w:spacing w:before="92"/>
        <w:ind w:right="60"/>
        <w:rPr>
          <w:sz w:val="22"/>
          <w:szCs w:val="22"/>
        </w:rPr>
      </w:pPr>
    </w:p>
    <w:p w14:paraId="27EDE5A8" w14:textId="77777777" w:rsidR="005A0908" w:rsidRDefault="001832EC">
      <w:pPr>
        <w:spacing w:before="92"/>
        <w:ind w:right="60"/>
        <w:rPr>
          <w:sz w:val="22"/>
          <w:szCs w:val="22"/>
        </w:rPr>
      </w:pPr>
      <w:r>
        <w:rPr>
          <w:sz w:val="22"/>
          <w:szCs w:val="22"/>
        </w:rPr>
        <w:t>.</w:t>
      </w:r>
    </w:p>
    <w:p w14:paraId="6C9037A5" w14:textId="77777777" w:rsidR="005A0908" w:rsidRDefault="001832EC">
      <w:pPr>
        <w:spacing w:before="92"/>
        <w:ind w:right="60" w:firstLine="720"/>
        <w:jc w:val="left"/>
        <w:rPr>
          <w:b/>
          <w:sz w:val="22"/>
          <w:szCs w:val="22"/>
        </w:rPr>
      </w:pPr>
      <w:r>
        <w:rPr>
          <w:b/>
          <w:color w:val="000000"/>
          <w:sz w:val="22"/>
          <w:szCs w:val="22"/>
        </w:rPr>
        <w:t>Cordialmente,</w:t>
      </w:r>
    </w:p>
    <w:p w14:paraId="73B39812" w14:textId="77777777" w:rsidR="005A0908" w:rsidRDefault="001832EC">
      <w:pPr>
        <w:spacing w:after="240"/>
        <w:jc w:val="left"/>
        <w:rPr>
          <w:sz w:val="22"/>
          <w:szCs w:val="22"/>
        </w:rPr>
      </w:pPr>
      <w:r>
        <w:rPr>
          <w:sz w:val="22"/>
          <w:szCs w:val="22"/>
        </w:rPr>
        <w:br/>
      </w:r>
      <w:r>
        <w:rPr>
          <w:sz w:val="22"/>
          <w:szCs w:val="22"/>
        </w:rPr>
        <w:br/>
      </w:r>
      <w:r>
        <w:rPr>
          <w:sz w:val="22"/>
          <w:szCs w:val="22"/>
        </w:rPr>
        <w:br/>
      </w:r>
      <w:r>
        <w:rPr>
          <w:sz w:val="22"/>
          <w:szCs w:val="22"/>
        </w:rPr>
        <w:br/>
      </w:r>
      <w:r>
        <w:rPr>
          <w:sz w:val="22"/>
          <w:szCs w:val="22"/>
        </w:rPr>
        <w:br/>
      </w:r>
      <w:r>
        <w:rPr>
          <w:sz w:val="22"/>
          <w:szCs w:val="22"/>
        </w:rPr>
        <w:br/>
      </w:r>
      <w:r>
        <w:rPr>
          <w:noProof/>
        </w:rPr>
        <w:drawing>
          <wp:anchor distT="0" distB="0" distL="114300" distR="114300" simplePos="0" relativeHeight="251658240" behindDoc="0" locked="0" layoutInCell="1" hidden="0" allowOverlap="1" wp14:anchorId="2D060752" wp14:editId="5B539D51">
            <wp:simplePos x="0" y="0"/>
            <wp:positionH relativeFrom="column">
              <wp:posOffset>-295270</wp:posOffset>
            </wp:positionH>
            <wp:positionV relativeFrom="paragraph">
              <wp:posOffset>9525</wp:posOffset>
            </wp:positionV>
            <wp:extent cx="3495675" cy="1495425"/>
            <wp:effectExtent l="0" t="0" r="0" b="0"/>
            <wp:wrapNone/>
            <wp:docPr id="4" name="image3.png" descr="https://lh7-us.googleusercontent.com/WQknX2-90AIusJNMoPTaXyYlZ4AaRdZP8iXzJZBlDGoPjGA0UBwKfmF3LzfYJh-1pPB2YmJ0BOwTln3OD3z0Q0Dw_Hml_CJaGoDJ66NEA33p8n1Z8chWDXLA4juVLhq82FAH-Xe50Jo0"/>
            <wp:cNvGraphicFramePr/>
            <a:graphic xmlns:a="http://schemas.openxmlformats.org/drawingml/2006/main">
              <a:graphicData uri="http://schemas.openxmlformats.org/drawingml/2006/picture">
                <pic:pic xmlns:pic="http://schemas.openxmlformats.org/drawingml/2006/picture">
                  <pic:nvPicPr>
                    <pic:cNvPr id="0" name="image3.png" descr="https://lh7-us.googleusercontent.com/WQknX2-90AIusJNMoPTaXyYlZ4AaRdZP8iXzJZBlDGoPjGA0UBwKfmF3LzfYJh-1pPB2YmJ0BOwTln3OD3z0Q0Dw_Hml_CJaGoDJ66NEA33p8n1Z8chWDXLA4juVLhq82FAH-Xe50Jo0"/>
                    <pic:cNvPicPr preferRelativeResize="0"/>
                  </pic:nvPicPr>
                  <pic:blipFill>
                    <a:blip r:embed="rId8"/>
                    <a:srcRect/>
                    <a:stretch>
                      <a:fillRect/>
                    </a:stretch>
                  </pic:blipFill>
                  <pic:spPr>
                    <a:xfrm>
                      <a:off x="0" y="0"/>
                      <a:ext cx="3495675" cy="1495425"/>
                    </a:xfrm>
                    <a:prstGeom prst="rect">
                      <a:avLst/>
                    </a:prstGeom>
                    <a:ln/>
                  </pic:spPr>
                </pic:pic>
              </a:graphicData>
            </a:graphic>
          </wp:anchor>
        </w:drawing>
      </w:r>
    </w:p>
    <w:p w14:paraId="4BDDD05E" w14:textId="77777777" w:rsidR="005A0908" w:rsidRDefault="001832EC">
      <w:pPr>
        <w:ind w:right="60" w:firstLine="720"/>
        <w:jc w:val="left"/>
        <w:rPr>
          <w:b/>
          <w:sz w:val="22"/>
          <w:szCs w:val="22"/>
        </w:rPr>
      </w:pPr>
      <w:r>
        <w:rPr>
          <w:b/>
          <w:color w:val="000000"/>
          <w:sz w:val="22"/>
          <w:szCs w:val="22"/>
        </w:rPr>
        <w:t>ÓSCAR JAIME RAMÍREZ VAHOS                    </w:t>
      </w:r>
    </w:p>
    <w:p w14:paraId="178F7A4C" w14:textId="77777777" w:rsidR="005A0908" w:rsidRDefault="001832EC">
      <w:pPr>
        <w:ind w:right="60" w:firstLine="720"/>
        <w:jc w:val="left"/>
        <w:rPr>
          <w:b/>
          <w:sz w:val="22"/>
          <w:szCs w:val="22"/>
        </w:rPr>
      </w:pPr>
      <w:r>
        <w:rPr>
          <w:color w:val="000000"/>
          <w:sz w:val="22"/>
          <w:szCs w:val="22"/>
        </w:rPr>
        <w:t xml:space="preserve">Concejal Coordinador                                         </w:t>
      </w:r>
    </w:p>
    <w:p w14:paraId="76536868" w14:textId="77777777" w:rsidR="005A0908" w:rsidRDefault="001832EC">
      <w:pPr>
        <w:ind w:right="60" w:firstLine="720"/>
        <w:jc w:val="left"/>
        <w:rPr>
          <w:color w:val="000000"/>
          <w:sz w:val="22"/>
          <w:szCs w:val="22"/>
        </w:rPr>
      </w:pPr>
      <w:bookmarkStart w:id="1" w:name="_uepmekykmgff" w:colFirst="0" w:colLast="0"/>
      <w:bookmarkEnd w:id="1"/>
      <w:r>
        <w:rPr>
          <w:color w:val="000000"/>
          <w:sz w:val="22"/>
          <w:szCs w:val="22"/>
        </w:rPr>
        <w:t xml:space="preserve">Partido Centro Democrático                            </w:t>
      </w:r>
    </w:p>
    <w:p w14:paraId="78D963D3" w14:textId="77777777" w:rsidR="005A0908" w:rsidRDefault="001832EC">
      <w:pPr>
        <w:ind w:right="60" w:firstLine="720"/>
        <w:jc w:val="left"/>
        <w:rPr>
          <w:b/>
          <w:sz w:val="22"/>
          <w:szCs w:val="22"/>
        </w:rPr>
      </w:pPr>
      <w:r>
        <w:rPr>
          <w:color w:val="000000"/>
          <w:sz w:val="22"/>
          <w:szCs w:val="22"/>
        </w:rPr>
        <w:t>   </w:t>
      </w:r>
    </w:p>
    <w:p w14:paraId="46D79435" w14:textId="77777777" w:rsidR="005A0908" w:rsidRDefault="001832EC">
      <w:pPr>
        <w:spacing w:before="240" w:after="240"/>
        <w:jc w:val="center"/>
        <w:rPr>
          <w:b/>
          <w:sz w:val="22"/>
          <w:szCs w:val="22"/>
        </w:rPr>
      </w:pPr>
      <w:r>
        <w:rPr>
          <w:b/>
          <w:sz w:val="22"/>
          <w:szCs w:val="22"/>
        </w:rPr>
        <w:lastRenderedPageBreak/>
        <w:t xml:space="preserve">PONENCIA PRIMER DEBATE </w:t>
      </w:r>
    </w:p>
    <w:p w14:paraId="575D8726" w14:textId="77777777" w:rsidR="005A0908" w:rsidRDefault="001832EC">
      <w:pPr>
        <w:spacing w:before="240" w:after="240"/>
        <w:jc w:val="center"/>
        <w:rPr>
          <w:b/>
          <w:sz w:val="22"/>
          <w:szCs w:val="22"/>
        </w:rPr>
      </w:pPr>
      <w:r>
        <w:rPr>
          <w:b/>
          <w:sz w:val="22"/>
          <w:szCs w:val="22"/>
        </w:rPr>
        <w:t>PROYECTO DE ACUERDO No. 510 DE 2025</w:t>
      </w:r>
    </w:p>
    <w:p w14:paraId="3A16AB1A" w14:textId="77777777" w:rsidR="005A0908" w:rsidRDefault="001832EC">
      <w:pPr>
        <w:spacing w:before="92"/>
        <w:ind w:right="60"/>
        <w:jc w:val="center"/>
        <w:rPr>
          <w:b/>
          <w:sz w:val="22"/>
          <w:szCs w:val="22"/>
        </w:rPr>
      </w:pPr>
      <w:r>
        <w:rPr>
          <w:b/>
          <w:sz w:val="22"/>
          <w:szCs w:val="22"/>
        </w:rPr>
        <w:t xml:space="preserve">“POR MEDIO DEL CUAL SE </w:t>
      </w:r>
      <w:r>
        <w:rPr>
          <w:b/>
          <w:sz w:val="22"/>
          <w:szCs w:val="22"/>
        </w:rPr>
        <w:t>FORTALECEN ESTRATEGIAS PEDAGÓGICAS Y DE COMUNICACIÓN, ENFOCADAS AL APROVECHAMIENTO DE AGUA LLUVIA Y RECICLAJE DE AGUAS DOMÉSTICAS EN LA CIUDAD DE BOGOTÁ”</w:t>
      </w:r>
    </w:p>
    <w:p w14:paraId="12AEC64F" w14:textId="77777777" w:rsidR="005A0908" w:rsidRDefault="005A0908">
      <w:pPr>
        <w:spacing w:line="276" w:lineRule="auto"/>
        <w:jc w:val="center"/>
        <w:rPr>
          <w:b/>
          <w:sz w:val="22"/>
          <w:szCs w:val="22"/>
        </w:rPr>
      </w:pPr>
    </w:p>
    <w:p w14:paraId="55FA9193" w14:textId="77777777" w:rsidR="005A0908" w:rsidRDefault="001832EC">
      <w:pPr>
        <w:numPr>
          <w:ilvl w:val="0"/>
          <w:numId w:val="1"/>
        </w:numPr>
        <w:pBdr>
          <w:top w:val="nil"/>
          <w:left w:val="nil"/>
          <w:bottom w:val="nil"/>
          <w:right w:val="nil"/>
          <w:between w:val="nil"/>
        </w:pBdr>
        <w:spacing w:before="200" w:after="200" w:line="276" w:lineRule="auto"/>
        <w:ind w:right="20"/>
        <w:rPr>
          <w:b/>
          <w:color w:val="000000"/>
          <w:sz w:val="22"/>
          <w:szCs w:val="22"/>
        </w:rPr>
      </w:pPr>
      <w:r>
        <w:rPr>
          <w:b/>
          <w:color w:val="000000"/>
          <w:sz w:val="22"/>
          <w:szCs w:val="22"/>
        </w:rPr>
        <w:t xml:space="preserve">OBJETO DEL PROYECTO </w:t>
      </w:r>
    </w:p>
    <w:p w14:paraId="08AF9C2F" w14:textId="77777777" w:rsidR="005A0908" w:rsidRDefault="001832EC">
      <w:pPr>
        <w:spacing w:before="240" w:after="240" w:line="276" w:lineRule="auto"/>
        <w:rPr>
          <w:sz w:val="22"/>
          <w:szCs w:val="22"/>
          <w:highlight w:val="white"/>
        </w:rPr>
      </w:pPr>
      <w:r>
        <w:rPr>
          <w:sz w:val="22"/>
          <w:szCs w:val="22"/>
          <w:highlight w:val="white"/>
        </w:rPr>
        <w:t>Esta iniciativa tiene como objetivo fortalecer estrategias pedagógicas y de comu</w:t>
      </w:r>
      <w:r>
        <w:rPr>
          <w:sz w:val="22"/>
          <w:szCs w:val="22"/>
          <w:highlight w:val="white"/>
        </w:rPr>
        <w:t>nicación, enfocadas al aprovechamiento de agua lluvia y reciclaje de aguas domésticas en la ciudad de Bogotá, con el fin de sensibilizar y culturizar sobre la utilización del recurso hídrico, para contribuir en el cuidado y protección del agua potable y el</w:t>
      </w:r>
      <w:r>
        <w:rPr>
          <w:sz w:val="22"/>
          <w:szCs w:val="22"/>
          <w:highlight w:val="white"/>
        </w:rPr>
        <w:t xml:space="preserve"> medio ambiente.</w:t>
      </w:r>
    </w:p>
    <w:p w14:paraId="54075A24" w14:textId="77777777" w:rsidR="005A0908" w:rsidRDefault="001832EC">
      <w:pPr>
        <w:numPr>
          <w:ilvl w:val="0"/>
          <w:numId w:val="2"/>
        </w:numPr>
        <w:pBdr>
          <w:top w:val="nil"/>
          <w:left w:val="nil"/>
          <w:bottom w:val="nil"/>
          <w:right w:val="nil"/>
          <w:between w:val="nil"/>
        </w:pBdr>
        <w:spacing w:before="240" w:after="240" w:line="276" w:lineRule="auto"/>
        <w:rPr>
          <w:color w:val="000000"/>
          <w:sz w:val="22"/>
          <w:szCs w:val="22"/>
        </w:rPr>
      </w:pPr>
      <w:r>
        <w:rPr>
          <w:b/>
          <w:sz w:val="22"/>
          <w:szCs w:val="22"/>
        </w:rPr>
        <w:t>SUSTENTO</w:t>
      </w:r>
      <w:r>
        <w:rPr>
          <w:b/>
          <w:color w:val="000000"/>
          <w:sz w:val="22"/>
          <w:szCs w:val="22"/>
        </w:rPr>
        <w:t xml:space="preserve"> JURÍDICO </w:t>
      </w:r>
    </w:p>
    <w:p w14:paraId="3919F138" w14:textId="77777777" w:rsidR="005A0908" w:rsidRDefault="001832EC">
      <w:pPr>
        <w:spacing w:before="220" w:line="276" w:lineRule="auto"/>
        <w:ind w:left="60"/>
        <w:rPr>
          <w:sz w:val="22"/>
          <w:szCs w:val="22"/>
        </w:rPr>
      </w:pPr>
      <w:r>
        <w:rPr>
          <w:sz w:val="22"/>
          <w:szCs w:val="22"/>
        </w:rPr>
        <w:t>Desde el pronunciamiento de la ONU A/64/L.63/Rev.1, Resolución del 26 de julio de 2010, que declara el agua potable y el saneamiento como un derecho humano esencial, lo cual genera para los Estados obligaciones exigibles</w:t>
      </w:r>
      <w:r>
        <w:rPr>
          <w:sz w:val="22"/>
          <w:szCs w:val="22"/>
        </w:rPr>
        <w:t xml:space="preserve"> por parte de los particulares. A partir de lo anterior, surge para los Estados miembro de las Naciones Unidas, entre ellos Colombia, la tarea de garantizar el servicio de acueducto con calidad y cobertura al 100% a todos sus habitantes, pero, a la vez, el</w:t>
      </w:r>
      <w:r>
        <w:rPr>
          <w:sz w:val="22"/>
          <w:szCs w:val="22"/>
        </w:rPr>
        <w:t xml:space="preserve"> Gobierno enfrenta el reto de conservar las fuentes de agua, que son el insumo para garantizar los derechos que la ONU ha considerado exigibles para todo ser humano.</w:t>
      </w:r>
      <w:r>
        <w:rPr>
          <w:sz w:val="22"/>
          <w:szCs w:val="22"/>
        </w:rPr>
        <w:br/>
        <w:t>“[…]”</w:t>
      </w:r>
    </w:p>
    <w:p w14:paraId="3347B887" w14:textId="77777777" w:rsidR="005A0908" w:rsidRDefault="001832EC">
      <w:pPr>
        <w:spacing w:before="220" w:line="276" w:lineRule="auto"/>
        <w:rPr>
          <w:sz w:val="22"/>
          <w:szCs w:val="22"/>
        </w:rPr>
      </w:pPr>
      <w:r>
        <w:rPr>
          <w:b/>
          <w:sz w:val="22"/>
          <w:szCs w:val="22"/>
        </w:rPr>
        <w:t>ORDEN CONSTITUCIONAL</w:t>
      </w:r>
    </w:p>
    <w:p w14:paraId="5AC8C900" w14:textId="16C468B3" w:rsidR="005A0908" w:rsidRDefault="001832EC" w:rsidP="008B2AA3">
      <w:pPr>
        <w:spacing w:before="220" w:line="276" w:lineRule="auto"/>
        <w:ind w:left="60"/>
        <w:rPr>
          <w:sz w:val="22"/>
          <w:szCs w:val="22"/>
        </w:rPr>
      </w:pPr>
      <w:r>
        <w:rPr>
          <w:sz w:val="22"/>
          <w:szCs w:val="22"/>
        </w:rPr>
        <w:t>Artículo 49. “Artículo modificado por el artículo 1 del Acto Le</w:t>
      </w:r>
      <w:r>
        <w:rPr>
          <w:sz w:val="22"/>
          <w:szCs w:val="22"/>
        </w:rPr>
        <w:t>gislativo 2 de 2009. El nuevo texto es el siguiente:” La atención de la salud y el saneamiento ambiental son servicios públicos a cargo del Estado. Se garantiza a todas las personas el acceso a los servicios de promoción, protección y recuperación de la sa</w:t>
      </w:r>
      <w:r>
        <w:rPr>
          <w:sz w:val="22"/>
          <w:szCs w:val="22"/>
        </w:rPr>
        <w:t>lud. […]</w:t>
      </w:r>
    </w:p>
    <w:p w14:paraId="63D3E907" w14:textId="77777777" w:rsidR="005A0908" w:rsidRDefault="001832EC">
      <w:pPr>
        <w:spacing w:before="220" w:line="276" w:lineRule="auto"/>
        <w:ind w:left="60"/>
        <w:rPr>
          <w:sz w:val="22"/>
          <w:szCs w:val="22"/>
        </w:rPr>
      </w:pPr>
      <w:r>
        <w:rPr>
          <w:sz w:val="22"/>
          <w:szCs w:val="22"/>
        </w:rPr>
        <w:t>Artículo 79. Todas las personas tienen derecho a gozar de un ambiente sano. La ley garantizará la participación de la comunidad en las decisiones que puedan afectarlo.</w:t>
      </w:r>
    </w:p>
    <w:p w14:paraId="539F9E30" w14:textId="77777777" w:rsidR="005A0908" w:rsidRDefault="001832EC">
      <w:pPr>
        <w:spacing w:before="220" w:line="276" w:lineRule="auto"/>
        <w:ind w:left="60"/>
        <w:rPr>
          <w:sz w:val="22"/>
          <w:szCs w:val="22"/>
        </w:rPr>
      </w:pPr>
      <w:r>
        <w:rPr>
          <w:sz w:val="22"/>
          <w:szCs w:val="22"/>
        </w:rPr>
        <w:t>Es deber del Estado proteger la diversidad e integridad del ambiente, conservar</w:t>
      </w:r>
      <w:r>
        <w:rPr>
          <w:sz w:val="22"/>
          <w:szCs w:val="22"/>
        </w:rPr>
        <w:t xml:space="preserve"> las áreas de especial importancia ecológica y fomentar la educación para el logro de estos fines.</w:t>
      </w:r>
    </w:p>
    <w:p w14:paraId="2D847FD0" w14:textId="77777777" w:rsidR="005A0908" w:rsidRDefault="001832EC">
      <w:pPr>
        <w:spacing w:before="220" w:line="276" w:lineRule="auto"/>
        <w:ind w:left="60"/>
        <w:rPr>
          <w:sz w:val="22"/>
          <w:szCs w:val="22"/>
        </w:rPr>
      </w:pPr>
      <w:r>
        <w:rPr>
          <w:sz w:val="22"/>
          <w:szCs w:val="22"/>
        </w:rPr>
        <w:lastRenderedPageBreak/>
        <w:t>Artículo 80. El Estado planificará el manejo y aprovechamiento de los recursos naturales, para garantizar su desarrollo sostenible, su conservación, restaura</w:t>
      </w:r>
      <w:r>
        <w:rPr>
          <w:sz w:val="22"/>
          <w:szCs w:val="22"/>
        </w:rPr>
        <w:t>ción o sustitución.</w:t>
      </w:r>
    </w:p>
    <w:p w14:paraId="4F282960" w14:textId="77777777" w:rsidR="005A0908" w:rsidRDefault="001832EC">
      <w:pPr>
        <w:spacing w:before="220" w:line="276" w:lineRule="auto"/>
        <w:ind w:left="60"/>
        <w:rPr>
          <w:sz w:val="22"/>
          <w:szCs w:val="22"/>
        </w:rPr>
      </w:pPr>
      <w:r>
        <w:rPr>
          <w:sz w:val="22"/>
          <w:szCs w:val="22"/>
        </w:rPr>
        <w:t>Además, deberá prevenir y controlar los factores de deterioro ambiental, imponer las sanciones legales y exigir la reparación de los daños causados.</w:t>
      </w:r>
    </w:p>
    <w:p w14:paraId="52C82768" w14:textId="77777777" w:rsidR="005A0908" w:rsidRDefault="001832EC">
      <w:pPr>
        <w:spacing w:before="220" w:line="276" w:lineRule="auto"/>
        <w:ind w:left="60"/>
        <w:rPr>
          <w:sz w:val="22"/>
          <w:szCs w:val="22"/>
        </w:rPr>
      </w:pPr>
      <w:r>
        <w:rPr>
          <w:sz w:val="22"/>
          <w:szCs w:val="22"/>
        </w:rPr>
        <w:t>Así mismo, cooperará con otras naciones en la protección de los ecosistemas situados en</w:t>
      </w:r>
      <w:r>
        <w:rPr>
          <w:sz w:val="22"/>
          <w:szCs w:val="22"/>
        </w:rPr>
        <w:t xml:space="preserve"> las zonas fronterizas.</w:t>
      </w:r>
    </w:p>
    <w:p w14:paraId="639CB152" w14:textId="77777777" w:rsidR="005A0908" w:rsidRDefault="001832EC">
      <w:pPr>
        <w:spacing w:before="220" w:line="276" w:lineRule="auto"/>
        <w:ind w:left="60"/>
        <w:rPr>
          <w:sz w:val="22"/>
          <w:szCs w:val="22"/>
        </w:rPr>
      </w:pPr>
      <w:r>
        <w:rPr>
          <w:sz w:val="22"/>
          <w:szCs w:val="22"/>
        </w:rPr>
        <w:t>Artículo 366. El bienestar general y el mejoramiento de la calidad de vida de la población son finalidades sociales del Estado. Será objetivo fundamental de su actividad la solución de las necesidades insatisfechas de salud, de educ</w:t>
      </w:r>
      <w:r>
        <w:rPr>
          <w:sz w:val="22"/>
          <w:szCs w:val="22"/>
        </w:rPr>
        <w:t>ación, de saneamiento ambiental y de agua potable.</w:t>
      </w:r>
    </w:p>
    <w:p w14:paraId="0D4B9040" w14:textId="77777777" w:rsidR="005A0908" w:rsidRDefault="001832EC">
      <w:pPr>
        <w:spacing w:before="220" w:line="276" w:lineRule="auto"/>
        <w:ind w:left="60"/>
        <w:rPr>
          <w:sz w:val="22"/>
          <w:szCs w:val="22"/>
        </w:rPr>
      </w:pPr>
      <w:r>
        <w:rPr>
          <w:sz w:val="22"/>
          <w:szCs w:val="22"/>
        </w:rPr>
        <w:t>Para tales efectos, en los planes y presupuestos de la Nación y de las entidades territoriales, el gasto público social tendrá prioridad sobre cualquier otra asignación.</w:t>
      </w:r>
    </w:p>
    <w:p w14:paraId="26E9AB96" w14:textId="77777777" w:rsidR="005A0908" w:rsidRDefault="001832EC">
      <w:pPr>
        <w:spacing w:before="220" w:line="276" w:lineRule="auto"/>
        <w:ind w:left="60"/>
        <w:rPr>
          <w:sz w:val="22"/>
          <w:szCs w:val="22"/>
        </w:rPr>
      </w:pPr>
      <w:r>
        <w:rPr>
          <w:sz w:val="22"/>
          <w:szCs w:val="22"/>
        </w:rPr>
        <w:t xml:space="preserve">Mediante Sentencia SU-442 de 1997, </w:t>
      </w:r>
      <w:r>
        <w:rPr>
          <w:sz w:val="22"/>
          <w:szCs w:val="22"/>
        </w:rPr>
        <w:t>la Corte Constitucional, respecto al artículo 79 de la CPC estableció que, “todas las personas tienen derecho a gozar de un ambiente sano, constituyendo un deber del Estado proteger la diversidad e integridad del ambiente, conservar las áreas de especial i</w:t>
      </w:r>
      <w:r>
        <w:rPr>
          <w:sz w:val="22"/>
          <w:szCs w:val="22"/>
        </w:rPr>
        <w:t>mportancia ecológica y fomentar la educación para el logro de dichos fines”</w:t>
      </w:r>
    </w:p>
    <w:p w14:paraId="6D686624" w14:textId="77777777" w:rsidR="005A0908" w:rsidRDefault="001832EC">
      <w:pPr>
        <w:spacing w:before="220" w:line="276" w:lineRule="auto"/>
        <w:ind w:left="60"/>
        <w:rPr>
          <w:b/>
          <w:sz w:val="22"/>
          <w:szCs w:val="22"/>
        </w:rPr>
      </w:pPr>
      <w:r>
        <w:rPr>
          <w:b/>
          <w:sz w:val="22"/>
          <w:szCs w:val="22"/>
        </w:rPr>
        <w:t>DE ORDEN NACIONAL</w:t>
      </w:r>
    </w:p>
    <w:p w14:paraId="59236C50" w14:textId="77777777" w:rsidR="005A0908" w:rsidRDefault="001832EC">
      <w:pPr>
        <w:spacing w:before="220" w:line="276" w:lineRule="auto"/>
        <w:ind w:left="60"/>
        <w:rPr>
          <w:sz w:val="22"/>
          <w:szCs w:val="22"/>
        </w:rPr>
      </w:pPr>
      <w:r>
        <w:rPr>
          <w:sz w:val="22"/>
          <w:szCs w:val="22"/>
        </w:rPr>
        <w:t xml:space="preserve">Ley 99 de 1993, el artículo 1 se refiere a la “orientación política ambiental y al proceso de desarrollo económico y social del país…. Las políticas de población </w:t>
      </w:r>
      <w:r>
        <w:rPr>
          <w:sz w:val="22"/>
          <w:szCs w:val="22"/>
        </w:rPr>
        <w:t>tendrán en cuenta el derecho de los seres humanos a una vida saludable y productiva en armonía con la naturaleza.”</w:t>
      </w:r>
    </w:p>
    <w:p w14:paraId="3EFF0F01" w14:textId="77777777" w:rsidR="005A0908" w:rsidRDefault="005A0908">
      <w:pPr>
        <w:spacing w:before="220" w:line="276" w:lineRule="auto"/>
        <w:ind w:left="60"/>
        <w:rPr>
          <w:sz w:val="22"/>
          <w:szCs w:val="22"/>
        </w:rPr>
      </w:pPr>
    </w:p>
    <w:p w14:paraId="59EF8050" w14:textId="77777777" w:rsidR="005A0908" w:rsidRDefault="001832EC">
      <w:pPr>
        <w:spacing w:before="220" w:line="276" w:lineRule="auto"/>
        <w:ind w:left="60"/>
        <w:rPr>
          <w:sz w:val="22"/>
          <w:szCs w:val="22"/>
        </w:rPr>
      </w:pPr>
      <w:r>
        <w:rPr>
          <w:sz w:val="22"/>
          <w:szCs w:val="22"/>
        </w:rPr>
        <w:t>Ley 373 de 1997, por la cual se establece el programa para el uso eficiente y ahorro del agua.</w:t>
      </w:r>
    </w:p>
    <w:p w14:paraId="541A6CEE" w14:textId="77777777" w:rsidR="005A0908" w:rsidRDefault="001832EC">
      <w:pPr>
        <w:spacing w:before="220" w:line="276" w:lineRule="auto"/>
        <w:ind w:left="60"/>
        <w:rPr>
          <w:sz w:val="22"/>
          <w:szCs w:val="22"/>
        </w:rPr>
      </w:pPr>
      <w:r>
        <w:rPr>
          <w:sz w:val="22"/>
          <w:szCs w:val="22"/>
        </w:rPr>
        <w:t>Ley 1977 de 2019, "Por la cual se modifica pa</w:t>
      </w:r>
      <w:r>
        <w:rPr>
          <w:sz w:val="22"/>
          <w:szCs w:val="22"/>
        </w:rPr>
        <w:t>rcialmente la ley 1176 de 2007 en lo que respecta al sector de agua potable y saneamiento básico"</w:t>
      </w:r>
    </w:p>
    <w:p w14:paraId="14D1C792" w14:textId="77777777" w:rsidR="005A0908" w:rsidRDefault="001832EC">
      <w:pPr>
        <w:spacing w:before="220" w:line="276" w:lineRule="auto"/>
        <w:ind w:left="60"/>
        <w:rPr>
          <w:sz w:val="22"/>
          <w:szCs w:val="22"/>
        </w:rPr>
      </w:pPr>
      <w:r>
        <w:rPr>
          <w:sz w:val="22"/>
          <w:szCs w:val="22"/>
        </w:rPr>
        <w:t>Decreto 1575 de 2007, por el cual se establece el Sistema para la Protección y Control de la Calidad del Agua para Consumo Humano.</w:t>
      </w:r>
    </w:p>
    <w:p w14:paraId="4EE1EF19" w14:textId="77777777" w:rsidR="005A0908" w:rsidRDefault="001832EC">
      <w:pPr>
        <w:spacing w:before="220" w:line="276" w:lineRule="auto"/>
        <w:ind w:left="60"/>
        <w:rPr>
          <w:sz w:val="22"/>
          <w:szCs w:val="22"/>
        </w:rPr>
      </w:pPr>
      <w:r>
        <w:rPr>
          <w:sz w:val="22"/>
          <w:szCs w:val="22"/>
        </w:rPr>
        <w:lastRenderedPageBreak/>
        <w:t xml:space="preserve">Decreto 1210 de 2020, "Por </w:t>
      </w:r>
      <w:r>
        <w:rPr>
          <w:sz w:val="22"/>
          <w:szCs w:val="22"/>
        </w:rPr>
        <w:t>el cual se modifica y adiciona parcialmente el Decreto 1076 de 2015, Decreto Único Reglamentario de Sector Ambiente y Desarrollo Sostenible en relación con el Registro de Usuarios del Recurso Hídrico, se reglamenta parcialmente el artículo 279 de la Ley 19</w:t>
      </w:r>
      <w:r>
        <w:rPr>
          <w:sz w:val="22"/>
          <w:szCs w:val="22"/>
        </w:rPr>
        <w:t>55 de 2019 y se dictan otras disposiciones"</w:t>
      </w:r>
    </w:p>
    <w:p w14:paraId="4C9E81BA" w14:textId="77777777" w:rsidR="005A0908" w:rsidRDefault="001832EC">
      <w:pPr>
        <w:spacing w:before="220" w:line="276" w:lineRule="auto"/>
        <w:ind w:left="60"/>
        <w:rPr>
          <w:sz w:val="22"/>
          <w:szCs w:val="22"/>
        </w:rPr>
      </w:pPr>
      <w:r>
        <w:rPr>
          <w:sz w:val="22"/>
          <w:szCs w:val="22"/>
        </w:rPr>
        <w:t>Resolución 2115 de 2007, Por medio de la cual se señalan características, instrumentos básicos y frecuencias del sistema de control y vigilancia para la calidad del agua para consumo humano.</w:t>
      </w:r>
    </w:p>
    <w:p w14:paraId="77E388C5" w14:textId="77777777" w:rsidR="005A0908" w:rsidRDefault="001832EC">
      <w:pPr>
        <w:spacing w:before="220" w:line="276" w:lineRule="auto"/>
        <w:ind w:left="60"/>
        <w:rPr>
          <w:b/>
          <w:sz w:val="22"/>
          <w:szCs w:val="22"/>
        </w:rPr>
      </w:pPr>
      <w:r>
        <w:rPr>
          <w:b/>
          <w:sz w:val="22"/>
          <w:szCs w:val="22"/>
        </w:rPr>
        <w:t>DE ORDEN DISTRITAL</w:t>
      </w:r>
    </w:p>
    <w:p w14:paraId="6F02E35A" w14:textId="77777777" w:rsidR="005A0908" w:rsidRDefault="001832EC">
      <w:pPr>
        <w:spacing w:before="220" w:line="276" w:lineRule="auto"/>
        <w:ind w:left="60"/>
        <w:rPr>
          <w:sz w:val="22"/>
          <w:szCs w:val="22"/>
        </w:rPr>
      </w:pPr>
      <w:r>
        <w:rPr>
          <w:sz w:val="22"/>
          <w:szCs w:val="22"/>
        </w:rPr>
        <w:t>Decreto 334 de 2024 “Por medio del cual se establecen medidas que propenden por el ahorro y uso eficiente del agua potable en el Distrito Capital de Bogotá”.</w:t>
      </w:r>
    </w:p>
    <w:p w14:paraId="5CD8E237" w14:textId="77777777" w:rsidR="005A0908" w:rsidRDefault="001832EC">
      <w:pPr>
        <w:spacing w:before="220" w:line="276" w:lineRule="auto"/>
        <w:ind w:left="60"/>
        <w:rPr>
          <w:sz w:val="22"/>
          <w:szCs w:val="22"/>
        </w:rPr>
      </w:pPr>
      <w:r>
        <w:rPr>
          <w:sz w:val="22"/>
          <w:szCs w:val="22"/>
        </w:rPr>
        <w:t>“[…] Prohibir el uso de agua potable para lavado de fachadas, parqueaderos y vehículos; el riego d</w:t>
      </w:r>
      <w:r>
        <w:rPr>
          <w:sz w:val="22"/>
          <w:szCs w:val="22"/>
        </w:rPr>
        <w:t>e jardines, zonas verdes o infraestructura recreacional o deportiva y el llenado de estanques ornamentales. Estas actividades sólo podrán realizarse con agua reciclada, agua lluvia previamente recolectada o agua cruda. 2. Prohibir la captación de agua de l</w:t>
      </w:r>
      <w:r>
        <w:rPr>
          <w:sz w:val="22"/>
          <w:szCs w:val="22"/>
        </w:rPr>
        <w:t>as fuentes hídricas sin la autorización de la autoridad ambiental. 3. Prohibir deteriorar, dañar o alterar los cuerpos de agua, zonas de ronda hídrica y zonas de manejo y preservación ambiental en cualquier forma. […]”.</w:t>
      </w:r>
    </w:p>
    <w:p w14:paraId="076B2ED3" w14:textId="77777777" w:rsidR="005A0908" w:rsidRDefault="001832EC">
      <w:pPr>
        <w:numPr>
          <w:ilvl w:val="0"/>
          <w:numId w:val="2"/>
        </w:numPr>
        <w:pBdr>
          <w:top w:val="nil"/>
          <w:left w:val="nil"/>
          <w:bottom w:val="nil"/>
          <w:right w:val="nil"/>
          <w:between w:val="nil"/>
        </w:pBdr>
        <w:spacing w:before="240" w:after="240"/>
        <w:rPr>
          <w:color w:val="000000"/>
          <w:sz w:val="22"/>
          <w:szCs w:val="22"/>
          <w:highlight w:val="white"/>
        </w:rPr>
      </w:pPr>
      <w:r>
        <w:rPr>
          <w:b/>
          <w:sz w:val="22"/>
          <w:szCs w:val="22"/>
          <w:highlight w:val="white"/>
        </w:rPr>
        <w:t>COMPETENCIA DEL CONCEJO DE BOGOTÁ D.</w:t>
      </w:r>
      <w:r>
        <w:rPr>
          <w:b/>
          <w:sz w:val="22"/>
          <w:szCs w:val="22"/>
          <w:highlight w:val="white"/>
        </w:rPr>
        <w:t>C.</w:t>
      </w:r>
    </w:p>
    <w:p w14:paraId="35F01C23" w14:textId="77777777" w:rsidR="005A0908" w:rsidRDefault="001832EC">
      <w:pPr>
        <w:pBdr>
          <w:top w:val="nil"/>
          <w:left w:val="nil"/>
          <w:bottom w:val="nil"/>
          <w:right w:val="nil"/>
          <w:between w:val="nil"/>
        </w:pBdr>
        <w:spacing w:before="220" w:line="276" w:lineRule="auto"/>
        <w:ind w:left="60"/>
        <w:rPr>
          <w:sz w:val="22"/>
          <w:szCs w:val="22"/>
        </w:rPr>
      </w:pPr>
      <w:r>
        <w:rPr>
          <w:sz w:val="22"/>
          <w:szCs w:val="22"/>
        </w:rPr>
        <w:t>El Concejo de Bogotá D.C. tiene la competencia para dictar normas relacionadas con la naturaleza y el alcance del presente Proyecto de Acuerdo, según las disposiciones constitucionales y legales vigentes.</w:t>
      </w:r>
    </w:p>
    <w:p w14:paraId="57742921" w14:textId="77777777" w:rsidR="005A0908" w:rsidRDefault="001832EC">
      <w:pPr>
        <w:spacing w:before="100" w:after="240"/>
        <w:rPr>
          <w:sz w:val="22"/>
          <w:szCs w:val="22"/>
          <w:highlight w:val="white"/>
        </w:rPr>
      </w:pPr>
      <w:r>
        <w:rPr>
          <w:sz w:val="22"/>
          <w:szCs w:val="22"/>
          <w:highlight w:val="white"/>
        </w:rPr>
        <w:t xml:space="preserve"> En primer lugar, el artículo 313 de la Constitu</w:t>
      </w:r>
      <w:r>
        <w:rPr>
          <w:sz w:val="22"/>
          <w:szCs w:val="22"/>
          <w:highlight w:val="white"/>
        </w:rPr>
        <w:t>ción Política de Colombia establece que:</w:t>
      </w:r>
    </w:p>
    <w:p w14:paraId="1E5ABC98" w14:textId="77777777" w:rsidR="005A0908" w:rsidRDefault="001832EC">
      <w:pPr>
        <w:spacing w:before="240" w:after="240"/>
        <w:ind w:left="560"/>
        <w:rPr>
          <w:i/>
          <w:sz w:val="22"/>
          <w:szCs w:val="22"/>
          <w:highlight w:val="white"/>
        </w:rPr>
      </w:pPr>
      <w:r>
        <w:rPr>
          <w:i/>
          <w:sz w:val="22"/>
          <w:szCs w:val="22"/>
          <w:highlight w:val="white"/>
        </w:rPr>
        <w:t>“ARTÍCULO 313. Corresponde a los Concejos:</w:t>
      </w:r>
    </w:p>
    <w:p w14:paraId="1A01D263" w14:textId="77777777" w:rsidR="005A0908" w:rsidRDefault="001832EC">
      <w:pPr>
        <w:spacing w:before="120" w:line="360" w:lineRule="auto"/>
        <w:ind w:left="560"/>
        <w:rPr>
          <w:i/>
          <w:sz w:val="22"/>
          <w:szCs w:val="22"/>
          <w:highlight w:val="white"/>
        </w:rPr>
      </w:pPr>
      <w:r>
        <w:rPr>
          <w:i/>
          <w:sz w:val="22"/>
          <w:szCs w:val="22"/>
          <w:highlight w:val="white"/>
        </w:rPr>
        <w:t>1. Reglamentar las funciones y la eficiente prestación de los servicios a cargo del municipio.</w:t>
      </w:r>
      <w:r>
        <w:rPr>
          <w:i/>
          <w:sz w:val="22"/>
          <w:szCs w:val="22"/>
          <w:highlight w:val="white"/>
        </w:rPr>
        <w:br/>
        <w:t>[...]</w:t>
      </w:r>
    </w:p>
    <w:p w14:paraId="52F0D829" w14:textId="77777777" w:rsidR="005A0908" w:rsidRDefault="001832EC">
      <w:pPr>
        <w:spacing w:before="120" w:line="360" w:lineRule="auto"/>
        <w:ind w:left="560"/>
        <w:rPr>
          <w:i/>
          <w:sz w:val="22"/>
          <w:szCs w:val="22"/>
          <w:highlight w:val="white"/>
        </w:rPr>
      </w:pPr>
      <w:r>
        <w:rPr>
          <w:i/>
          <w:sz w:val="22"/>
          <w:szCs w:val="22"/>
          <w:highlight w:val="white"/>
        </w:rPr>
        <w:t xml:space="preserve">9. Dictar las normas necesarias para el control, la preservación y </w:t>
      </w:r>
      <w:r>
        <w:rPr>
          <w:i/>
          <w:sz w:val="22"/>
          <w:szCs w:val="22"/>
          <w:highlight w:val="white"/>
        </w:rPr>
        <w:t>defensa del patrimonio ecológico y cultural del municipio”.</w:t>
      </w:r>
    </w:p>
    <w:p w14:paraId="7CA17F92" w14:textId="77777777" w:rsidR="005A0908" w:rsidRDefault="001832EC">
      <w:pPr>
        <w:spacing w:before="120" w:after="240"/>
        <w:rPr>
          <w:sz w:val="22"/>
          <w:szCs w:val="22"/>
          <w:highlight w:val="white"/>
        </w:rPr>
      </w:pPr>
      <w:r>
        <w:rPr>
          <w:i/>
          <w:sz w:val="22"/>
          <w:szCs w:val="22"/>
          <w:highlight w:val="white"/>
        </w:rPr>
        <w:lastRenderedPageBreak/>
        <w:t xml:space="preserve"> </w:t>
      </w:r>
      <w:r>
        <w:rPr>
          <w:sz w:val="22"/>
          <w:szCs w:val="22"/>
          <w:highlight w:val="white"/>
        </w:rPr>
        <w:t>En segundo lugar, el artículo 12 del Decreto Ley 1421 de 1993 - Estatuto Orgánico de Bogotá - estipula que:</w:t>
      </w:r>
    </w:p>
    <w:p w14:paraId="5AA80CB5" w14:textId="77777777" w:rsidR="005A0908" w:rsidRDefault="001832EC">
      <w:pPr>
        <w:spacing w:line="360" w:lineRule="auto"/>
        <w:ind w:left="560" w:right="100"/>
        <w:rPr>
          <w:i/>
          <w:sz w:val="22"/>
          <w:szCs w:val="22"/>
          <w:highlight w:val="white"/>
        </w:rPr>
      </w:pPr>
      <w:r>
        <w:rPr>
          <w:i/>
          <w:sz w:val="22"/>
          <w:szCs w:val="22"/>
          <w:highlight w:val="white"/>
        </w:rPr>
        <w:t xml:space="preserve">“ARTÍCULO 12. Atribuciones. Corresponde al Concejo Distrital, de conformidad con la </w:t>
      </w:r>
      <w:r>
        <w:rPr>
          <w:i/>
          <w:sz w:val="22"/>
          <w:szCs w:val="22"/>
          <w:highlight w:val="white"/>
        </w:rPr>
        <w:t>Constitución y a la ley:</w:t>
      </w:r>
    </w:p>
    <w:p w14:paraId="7BFC6194" w14:textId="77777777" w:rsidR="005A0908" w:rsidRDefault="001832EC">
      <w:pPr>
        <w:spacing w:before="240" w:after="240" w:line="360" w:lineRule="auto"/>
        <w:ind w:left="560"/>
        <w:rPr>
          <w:i/>
          <w:sz w:val="22"/>
          <w:szCs w:val="22"/>
          <w:highlight w:val="white"/>
        </w:rPr>
      </w:pPr>
      <w:r>
        <w:rPr>
          <w:i/>
          <w:sz w:val="22"/>
          <w:szCs w:val="22"/>
          <w:highlight w:val="white"/>
        </w:rPr>
        <w:t>1. Dictar las normas necesarias para garantizar el adecuado cumplimiento de las funciones y la eficiente prestación de los servicios a cargo del Distrito.</w:t>
      </w:r>
      <w:r>
        <w:rPr>
          <w:i/>
          <w:sz w:val="22"/>
          <w:szCs w:val="22"/>
          <w:highlight w:val="white"/>
        </w:rPr>
        <w:br/>
        <w:t>[...]</w:t>
      </w:r>
    </w:p>
    <w:p w14:paraId="1C386533" w14:textId="77777777" w:rsidR="005A0908" w:rsidRDefault="001832EC">
      <w:pPr>
        <w:spacing w:before="120" w:line="360" w:lineRule="auto"/>
        <w:ind w:left="560"/>
        <w:rPr>
          <w:i/>
          <w:sz w:val="22"/>
          <w:szCs w:val="22"/>
          <w:highlight w:val="white"/>
        </w:rPr>
      </w:pPr>
      <w:r>
        <w:rPr>
          <w:i/>
          <w:sz w:val="22"/>
          <w:szCs w:val="22"/>
          <w:highlight w:val="white"/>
        </w:rPr>
        <w:t>7. Dictar las normas necesarias para garantizar la preservación y defe</w:t>
      </w:r>
      <w:r>
        <w:rPr>
          <w:i/>
          <w:sz w:val="22"/>
          <w:szCs w:val="22"/>
          <w:highlight w:val="white"/>
        </w:rPr>
        <w:t>nsa del patrimonio ecológico, los recursos naturales y el medio ambiente”</w:t>
      </w:r>
    </w:p>
    <w:p w14:paraId="3A8F27E0" w14:textId="77777777" w:rsidR="005A0908" w:rsidRDefault="001832EC">
      <w:pPr>
        <w:numPr>
          <w:ilvl w:val="0"/>
          <w:numId w:val="2"/>
        </w:numPr>
        <w:pBdr>
          <w:top w:val="nil"/>
          <w:left w:val="nil"/>
          <w:bottom w:val="nil"/>
          <w:right w:val="nil"/>
          <w:between w:val="nil"/>
        </w:pBdr>
        <w:spacing w:before="240" w:after="240"/>
        <w:rPr>
          <w:color w:val="000000"/>
          <w:sz w:val="22"/>
          <w:szCs w:val="22"/>
          <w:highlight w:val="white"/>
        </w:rPr>
      </w:pPr>
      <w:r>
        <w:rPr>
          <w:b/>
          <w:color w:val="000000"/>
          <w:sz w:val="22"/>
          <w:szCs w:val="22"/>
          <w:highlight w:val="white"/>
        </w:rPr>
        <w:t>IMPACTO FISCAL</w:t>
      </w:r>
    </w:p>
    <w:p w14:paraId="20F987C1" w14:textId="77777777" w:rsidR="005A0908" w:rsidRDefault="001832EC">
      <w:pPr>
        <w:pBdr>
          <w:top w:val="nil"/>
          <w:left w:val="nil"/>
          <w:bottom w:val="nil"/>
          <w:right w:val="nil"/>
          <w:between w:val="nil"/>
        </w:pBdr>
        <w:spacing w:before="220" w:line="276" w:lineRule="auto"/>
        <w:ind w:left="60"/>
        <w:rPr>
          <w:sz w:val="22"/>
          <w:szCs w:val="22"/>
        </w:rPr>
      </w:pPr>
      <w:r>
        <w:rPr>
          <w:sz w:val="22"/>
          <w:szCs w:val="22"/>
        </w:rPr>
        <w:t>La Ley 819 de 2003 “Por la cual se dictan normas orgánicas en materia de presupuesto, responsabilidad y transparencia fiscal y se dictan otras disposiciones” en su art</w:t>
      </w:r>
      <w:r>
        <w:rPr>
          <w:sz w:val="22"/>
          <w:szCs w:val="22"/>
        </w:rPr>
        <w:t>ículo 7 establece:</w:t>
      </w:r>
    </w:p>
    <w:p w14:paraId="1FD9C69D" w14:textId="77777777" w:rsidR="005A0908" w:rsidRDefault="005A0908">
      <w:pPr>
        <w:pBdr>
          <w:top w:val="nil"/>
          <w:left w:val="nil"/>
          <w:bottom w:val="nil"/>
          <w:right w:val="nil"/>
          <w:between w:val="nil"/>
        </w:pBdr>
        <w:spacing w:before="220" w:line="276" w:lineRule="auto"/>
        <w:ind w:left="60"/>
        <w:rPr>
          <w:sz w:val="22"/>
          <w:szCs w:val="22"/>
        </w:rPr>
      </w:pPr>
    </w:p>
    <w:p w14:paraId="00A5442A" w14:textId="77777777" w:rsidR="005A0908" w:rsidRDefault="001832EC">
      <w:pPr>
        <w:spacing w:line="360" w:lineRule="auto"/>
        <w:ind w:left="560" w:right="140"/>
        <w:rPr>
          <w:i/>
          <w:sz w:val="22"/>
          <w:szCs w:val="22"/>
          <w:highlight w:val="white"/>
        </w:rPr>
      </w:pPr>
      <w:r>
        <w:rPr>
          <w:i/>
          <w:sz w:val="22"/>
          <w:szCs w:val="22"/>
          <w:highlight w:val="white"/>
        </w:rPr>
        <w:t xml:space="preserve">"Artículo 7º. Análisis del impacto fiscal de las normas. En todo momento, el impacto fiscal de cualquier proyecto de ley, ordenanza o acuerdo, que ordene gasto o que otorgue beneficios tributarios, deberá hacerse explícito y deberá ser </w:t>
      </w:r>
      <w:r>
        <w:rPr>
          <w:i/>
          <w:sz w:val="22"/>
          <w:szCs w:val="22"/>
          <w:highlight w:val="white"/>
        </w:rPr>
        <w:t>compatible con el Marco Fiscal de Mediano Plazo.</w:t>
      </w:r>
    </w:p>
    <w:p w14:paraId="5F34AB8A" w14:textId="77777777" w:rsidR="005A0908" w:rsidRDefault="001832EC">
      <w:pPr>
        <w:spacing w:line="360" w:lineRule="auto"/>
        <w:ind w:left="560" w:right="140"/>
        <w:rPr>
          <w:i/>
          <w:sz w:val="22"/>
          <w:szCs w:val="22"/>
          <w:highlight w:val="white"/>
        </w:rPr>
      </w:pPr>
      <w:r>
        <w:rPr>
          <w:i/>
          <w:sz w:val="22"/>
          <w:szCs w:val="22"/>
          <w:highlight w:val="white"/>
        </w:rPr>
        <w:t xml:space="preserve">Para estos propósitos, deberá incluirse expresamente en la exposición de motivos y en las ponencias de trámite respectivas los costos fiscales de la iniciativa y la fuente de ingreso adicional generada para </w:t>
      </w:r>
      <w:r>
        <w:rPr>
          <w:i/>
          <w:sz w:val="22"/>
          <w:szCs w:val="22"/>
          <w:highlight w:val="white"/>
        </w:rPr>
        <w:t>el financiamiento de dicho costo”.</w:t>
      </w:r>
    </w:p>
    <w:p w14:paraId="02A5B464" w14:textId="77777777" w:rsidR="005A0908" w:rsidRDefault="005A0908">
      <w:pPr>
        <w:spacing w:line="360" w:lineRule="auto"/>
        <w:ind w:left="560" w:right="140"/>
        <w:rPr>
          <w:i/>
          <w:sz w:val="22"/>
          <w:szCs w:val="22"/>
          <w:highlight w:val="white"/>
        </w:rPr>
      </w:pPr>
    </w:p>
    <w:p w14:paraId="2A060472" w14:textId="77777777" w:rsidR="005A0908" w:rsidRDefault="001832EC">
      <w:pPr>
        <w:pBdr>
          <w:top w:val="nil"/>
          <w:left w:val="nil"/>
          <w:bottom w:val="nil"/>
          <w:right w:val="nil"/>
          <w:between w:val="nil"/>
        </w:pBdr>
        <w:spacing w:before="220" w:line="276" w:lineRule="auto"/>
        <w:ind w:left="60"/>
        <w:rPr>
          <w:sz w:val="22"/>
          <w:szCs w:val="22"/>
        </w:rPr>
      </w:pPr>
      <w:r>
        <w:rPr>
          <w:sz w:val="22"/>
          <w:szCs w:val="22"/>
        </w:rPr>
        <w:t>La presente iniciativa no genera gastos fiscales, dado que su implementación no implica incurrir en gastos adicionales diferentes a los que ya tienen previstos las entidades en cumplimiento a su misionalidad y de los pro</w:t>
      </w:r>
      <w:r>
        <w:rPr>
          <w:sz w:val="22"/>
          <w:szCs w:val="22"/>
        </w:rPr>
        <w:t>gramas de su competencia en cumplimiento de las metas establecidas en el Plan Distrital de Desarrollo.</w:t>
      </w:r>
    </w:p>
    <w:p w14:paraId="43E55206" w14:textId="77777777" w:rsidR="005A0908" w:rsidRDefault="001832EC">
      <w:pPr>
        <w:pBdr>
          <w:top w:val="nil"/>
          <w:left w:val="nil"/>
          <w:bottom w:val="nil"/>
          <w:right w:val="nil"/>
          <w:between w:val="nil"/>
        </w:pBdr>
        <w:spacing w:before="220" w:line="276" w:lineRule="auto"/>
        <w:ind w:left="60"/>
        <w:rPr>
          <w:sz w:val="22"/>
          <w:szCs w:val="22"/>
          <w:highlight w:val="white"/>
        </w:rPr>
      </w:pPr>
      <w:r>
        <w:rPr>
          <w:sz w:val="22"/>
          <w:szCs w:val="22"/>
        </w:rPr>
        <w:lastRenderedPageBreak/>
        <w:t>Sin embargo, debe considerarse lo establecido en la Sentencia C-911 de 2007 de la Corte Constitucional, que alude en lo referente al impacto fiscal de la</w:t>
      </w:r>
      <w:r>
        <w:rPr>
          <w:sz w:val="22"/>
          <w:szCs w:val="22"/>
        </w:rPr>
        <w:t>s normas el cual no puede convertirse en impedimento para que las corporaciones públicas ejerzan su función legislativa y normativa en los siguientes términos:</w:t>
      </w:r>
      <w:r>
        <w:rPr>
          <w:sz w:val="22"/>
          <w:szCs w:val="22"/>
        </w:rPr>
        <w:br/>
      </w:r>
    </w:p>
    <w:p w14:paraId="4F887B08" w14:textId="77777777" w:rsidR="005A0908" w:rsidRDefault="001832EC">
      <w:pPr>
        <w:spacing w:line="360" w:lineRule="auto"/>
        <w:ind w:left="700" w:right="140"/>
        <w:rPr>
          <w:sz w:val="22"/>
          <w:szCs w:val="22"/>
          <w:highlight w:val="white"/>
        </w:rPr>
      </w:pPr>
      <w:r>
        <w:rPr>
          <w:i/>
          <w:sz w:val="22"/>
          <w:szCs w:val="22"/>
          <w:highlight w:val="white"/>
        </w:rPr>
        <w:t>“Precisamente, los obstáculos casi insuperables que se generarían para la actividad legislativa</w:t>
      </w:r>
      <w:r>
        <w:rPr>
          <w:i/>
          <w:sz w:val="22"/>
          <w:szCs w:val="22"/>
          <w:highlight w:val="white"/>
        </w:rPr>
        <w:t xml:space="preserve"> del Congreso de la República conducirían a concederle una forma de poder de veto al Ministro de Hacienda sobre las iniciativas de ley en el Parlamento. Es decir, el mencionado artículo debe interpretarse en el sentido de que su fin es obtener que las leye</w:t>
      </w:r>
      <w:r>
        <w:rPr>
          <w:i/>
          <w:sz w:val="22"/>
          <w:szCs w:val="22"/>
          <w:highlight w:val="white"/>
        </w:rPr>
        <w:t>s que se dicten tengan en cuenta las realidades macroeconómicas, pero sin crear barreras insalvables en el ejercicio de la función legislativa ni crear un poder de veto legislativo en cabeza del Ministro de Hacienda”.</w:t>
      </w:r>
    </w:p>
    <w:p w14:paraId="41E4CD5B" w14:textId="77777777" w:rsidR="005A0908" w:rsidRDefault="001832EC">
      <w:pPr>
        <w:spacing w:before="240" w:after="240"/>
        <w:rPr>
          <w:sz w:val="22"/>
          <w:szCs w:val="22"/>
          <w:highlight w:val="white"/>
        </w:rPr>
      </w:pPr>
      <w:r>
        <w:rPr>
          <w:sz w:val="22"/>
          <w:szCs w:val="22"/>
          <w:highlight w:val="white"/>
        </w:rPr>
        <w:t>Según los autores de la iniciativa, la</w:t>
      </w:r>
      <w:r>
        <w:rPr>
          <w:sz w:val="22"/>
          <w:szCs w:val="22"/>
          <w:highlight w:val="white"/>
        </w:rPr>
        <w:t xml:space="preserve"> implementación de este proyecto de acuerdo no genera un impacto fiscal que implique una modificación en el marco fiscal de mediano plazo, toda vez, que no se incrementará el presupuesto del Distrito, ni ocasionará la creación de una nueva fuente de financ</w:t>
      </w:r>
      <w:r>
        <w:rPr>
          <w:sz w:val="22"/>
          <w:szCs w:val="22"/>
          <w:highlight w:val="white"/>
        </w:rPr>
        <w:t>iación. Las medidas a adoptar deberán ser financiadas con el presupuesto de la entidad pertinente.</w:t>
      </w:r>
    </w:p>
    <w:p w14:paraId="01A6E1AC" w14:textId="77777777" w:rsidR="005A0908" w:rsidRDefault="001832EC">
      <w:pPr>
        <w:numPr>
          <w:ilvl w:val="0"/>
          <w:numId w:val="2"/>
        </w:numPr>
        <w:pBdr>
          <w:top w:val="nil"/>
          <w:left w:val="nil"/>
          <w:bottom w:val="nil"/>
          <w:right w:val="nil"/>
          <w:between w:val="nil"/>
        </w:pBdr>
        <w:spacing w:before="200" w:after="200"/>
        <w:ind w:right="20"/>
        <w:rPr>
          <w:color w:val="000000"/>
          <w:sz w:val="22"/>
          <w:szCs w:val="22"/>
        </w:rPr>
      </w:pPr>
      <w:r>
        <w:rPr>
          <w:b/>
          <w:color w:val="000000"/>
          <w:sz w:val="22"/>
          <w:szCs w:val="22"/>
        </w:rPr>
        <w:t>A</w:t>
      </w:r>
      <w:r>
        <w:rPr>
          <w:b/>
          <w:sz w:val="22"/>
          <w:szCs w:val="22"/>
        </w:rPr>
        <w:t xml:space="preserve">NÁLISIS DE LA INICIATIVA </w:t>
      </w:r>
    </w:p>
    <w:p w14:paraId="7A2C2D24" w14:textId="77777777" w:rsidR="005A0908" w:rsidRDefault="001832EC">
      <w:pPr>
        <w:pBdr>
          <w:top w:val="nil"/>
          <w:left w:val="nil"/>
          <w:bottom w:val="nil"/>
          <w:right w:val="nil"/>
          <w:between w:val="nil"/>
        </w:pBdr>
        <w:spacing w:before="240" w:after="240" w:line="276" w:lineRule="auto"/>
        <w:rPr>
          <w:sz w:val="22"/>
          <w:szCs w:val="22"/>
          <w:highlight w:val="white"/>
        </w:rPr>
      </w:pPr>
      <w:r>
        <w:rPr>
          <w:sz w:val="22"/>
          <w:szCs w:val="22"/>
          <w:highlight w:val="white"/>
        </w:rPr>
        <w:t>La ciudad de Bogotá enfrenta en 2025 importantes desafíos en materia de abastecimiento de agua potable debido a variaciones climát</w:t>
      </w:r>
      <w:r>
        <w:rPr>
          <w:sz w:val="22"/>
          <w:szCs w:val="22"/>
          <w:highlight w:val="white"/>
        </w:rPr>
        <w:t>icas y periodos de sequía recientes. Desde 2024, el impacto del fenómeno de El Niño y la reducción de lluvias han llevado los niveles de los embalses a puntos críticos</w:t>
      </w:r>
      <w:r>
        <w:rPr>
          <w:sz w:val="22"/>
          <w:szCs w:val="22"/>
          <w:highlight w:val="white"/>
          <w:vertAlign w:val="superscript"/>
        </w:rPr>
        <w:footnoteReference w:id="1"/>
      </w:r>
      <w:r>
        <w:rPr>
          <w:sz w:val="22"/>
          <w:szCs w:val="22"/>
          <w:highlight w:val="white"/>
        </w:rPr>
        <w:t xml:space="preserve"> (IDEAM, 2025). Estos embalses –que incluyen Chingaza, Tominé, Neusa, Sisga y San Rafael</w:t>
      </w:r>
      <w:r>
        <w:rPr>
          <w:sz w:val="22"/>
          <w:szCs w:val="22"/>
          <w:highlight w:val="white"/>
        </w:rPr>
        <w:t>– registraron a inicios de 2025 volúmenes alarmantemente bajos: por ejemplo, el sistema Chingaza (principal fuente hídrica de la capital) estaba apenas al ~38,6 % de su capacidad en marzo de 2025, con el embalse de Chuza al 31,9 % y San Rafael al 60,4 %; a</w:t>
      </w:r>
      <w:r>
        <w:rPr>
          <w:sz w:val="22"/>
          <w:szCs w:val="22"/>
          <w:highlight w:val="white"/>
        </w:rPr>
        <w:t>simismo, el agregado de embalses del norte (Neusa, Sisga y Tominé) promediaba solo un 48,4 % de llenado</w:t>
      </w:r>
      <w:r>
        <w:rPr>
          <w:sz w:val="22"/>
          <w:szCs w:val="22"/>
          <w:highlight w:val="white"/>
          <w:vertAlign w:val="superscript"/>
        </w:rPr>
        <w:footnoteReference w:id="2"/>
      </w:r>
      <w:r>
        <w:rPr>
          <w:sz w:val="22"/>
          <w:szCs w:val="22"/>
          <w:highlight w:val="white"/>
        </w:rPr>
        <w:t xml:space="preserve"> (El Espectador, 2025). Esta situación derivó incluso en racionamientos temporales de agua en Bogotá y municipios cercanos durante 2024 y comienzos de 2</w:t>
      </w:r>
      <w:r>
        <w:rPr>
          <w:sz w:val="22"/>
          <w:szCs w:val="22"/>
          <w:highlight w:val="white"/>
        </w:rPr>
        <w:t xml:space="preserve">025, </w:t>
      </w:r>
      <w:r>
        <w:rPr>
          <w:sz w:val="22"/>
          <w:szCs w:val="22"/>
          <w:highlight w:val="white"/>
        </w:rPr>
        <w:lastRenderedPageBreak/>
        <w:t>evidenciando la fragilidad del sistema hídrico ante eventos climáticos extremos</w:t>
      </w:r>
      <w:r>
        <w:rPr>
          <w:sz w:val="22"/>
          <w:szCs w:val="22"/>
          <w:highlight w:val="white"/>
          <w:vertAlign w:val="superscript"/>
        </w:rPr>
        <w:footnoteReference w:id="3"/>
      </w:r>
      <w:r>
        <w:rPr>
          <w:sz w:val="22"/>
          <w:szCs w:val="22"/>
          <w:highlight w:val="white"/>
        </w:rPr>
        <w:t xml:space="preserve"> (Semana Sostenible, 2025). En este contexto, las estrategias de aprovechamiento de agua lluvia y reciclaje de aguas domésticas surgen como alternativas cruciales para ref</w:t>
      </w:r>
      <w:r>
        <w:rPr>
          <w:sz w:val="22"/>
          <w:szCs w:val="22"/>
          <w:highlight w:val="white"/>
        </w:rPr>
        <w:t>orzar la seguridad hídrica de la ciudad y reducir la presión sobre sus fuentes tradicionales de abastecimiento.</w:t>
      </w:r>
    </w:p>
    <w:p w14:paraId="0BCCBDFC" w14:textId="77777777" w:rsidR="005A0908" w:rsidRDefault="001832EC">
      <w:pPr>
        <w:pBdr>
          <w:top w:val="nil"/>
          <w:left w:val="nil"/>
          <w:bottom w:val="nil"/>
          <w:right w:val="nil"/>
          <w:between w:val="nil"/>
        </w:pBdr>
        <w:spacing w:before="240" w:after="240" w:line="276" w:lineRule="auto"/>
        <w:rPr>
          <w:sz w:val="22"/>
          <w:szCs w:val="22"/>
          <w:highlight w:val="white"/>
        </w:rPr>
      </w:pPr>
      <w:r>
        <w:rPr>
          <w:sz w:val="22"/>
          <w:szCs w:val="22"/>
          <w:highlight w:val="white"/>
        </w:rPr>
        <w:t>El aprovechamiento de agua lluvia consiste en capturar y almacenar precipitaciones para su uso posterior en actividades no potables (riego, limp</w:t>
      </w:r>
      <w:r>
        <w:rPr>
          <w:sz w:val="22"/>
          <w:szCs w:val="22"/>
          <w:highlight w:val="white"/>
        </w:rPr>
        <w:t>ieza, sanitarios, etc.), mientras que el reciclaje de aguas domésticas se refiere a la reutilización de aguas grises (provenientes de duchas, lavamanos, lavadoras) tras un tratamiento adecuado, para fines como el riego o descargas sanitarias. La adopción d</w:t>
      </w:r>
      <w:r>
        <w:rPr>
          <w:sz w:val="22"/>
          <w:szCs w:val="22"/>
          <w:highlight w:val="white"/>
        </w:rPr>
        <w:t>e estas prácticas conlleva múltiples beneficios. En el plano ambiental, permiten disminuir la extracción de agua de ríos y embalses, ayudando a conservar ecosistemas y adaptarse al cambio climático. Una iniciativa lanzada en 2025 por la Secretaría de Hábit</w:t>
      </w:r>
      <w:r>
        <w:rPr>
          <w:sz w:val="22"/>
          <w:szCs w:val="22"/>
          <w:highlight w:val="white"/>
        </w:rPr>
        <w:t>at de Bogotá destaca que usar agua lluvia en el hogar puede reducir el consumo de agua potable y simultáneamente “ayudan al planeta” contribuyendo a la lucha contra el cambio climático</w:t>
      </w:r>
      <w:r>
        <w:rPr>
          <w:sz w:val="22"/>
          <w:szCs w:val="22"/>
          <w:highlight w:val="white"/>
          <w:vertAlign w:val="superscript"/>
        </w:rPr>
        <w:footnoteReference w:id="4"/>
      </w:r>
      <w:r>
        <w:rPr>
          <w:sz w:val="22"/>
          <w:szCs w:val="22"/>
          <w:highlight w:val="white"/>
        </w:rPr>
        <w:t xml:space="preserve"> (Secretaría Distrital del Hábitat, 2025). Asimismo, se ha demostrado q</w:t>
      </w:r>
      <w:r>
        <w:rPr>
          <w:sz w:val="22"/>
          <w:szCs w:val="22"/>
          <w:highlight w:val="white"/>
        </w:rPr>
        <w:t>ue implementar la reutilización de aguas grises a gran escala podría reducir hasta un 30 % la demanda de agua potable para usos no esenciales en Bogotá, aliviando la presión sobre las reservas hídricas de la región. Estos ahorros de agua significan que los</w:t>
      </w:r>
      <w:r>
        <w:rPr>
          <w:sz w:val="22"/>
          <w:szCs w:val="22"/>
          <w:highlight w:val="white"/>
        </w:rPr>
        <w:t xml:space="preserve"> embalses podrían recuperarse más rápidamente y mantenerse en niveles seguros, aun en épocas secas</w:t>
      </w:r>
      <w:r>
        <w:rPr>
          <w:sz w:val="22"/>
          <w:szCs w:val="22"/>
          <w:highlight w:val="white"/>
          <w:vertAlign w:val="superscript"/>
        </w:rPr>
        <w:footnoteReference w:id="5"/>
      </w:r>
      <w:r>
        <w:rPr>
          <w:sz w:val="22"/>
          <w:szCs w:val="22"/>
          <w:highlight w:val="white"/>
        </w:rPr>
        <w:t xml:space="preserve"> (Universidad Nacional de Colombia, 2025).</w:t>
      </w:r>
    </w:p>
    <w:p w14:paraId="48A12DF6" w14:textId="77777777" w:rsidR="005A0908" w:rsidRDefault="001832EC">
      <w:pPr>
        <w:pBdr>
          <w:top w:val="nil"/>
          <w:left w:val="nil"/>
          <w:bottom w:val="nil"/>
          <w:right w:val="nil"/>
          <w:between w:val="nil"/>
        </w:pBdr>
        <w:spacing w:before="240" w:after="240" w:line="276" w:lineRule="auto"/>
        <w:rPr>
          <w:sz w:val="22"/>
          <w:szCs w:val="22"/>
          <w:highlight w:val="white"/>
        </w:rPr>
      </w:pPr>
      <w:r>
        <w:rPr>
          <w:sz w:val="22"/>
          <w:szCs w:val="22"/>
          <w:highlight w:val="white"/>
        </w:rPr>
        <w:t>Los beneficios sociales de estas prácticas son igualmente importantes. Al diversificar las fuentes de agua y fomen</w:t>
      </w:r>
      <w:r>
        <w:rPr>
          <w:sz w:val="22"/>
          <w:szCs w:val="22"/>
          <w:highlight w:val="white"/>
        </w:rPr>
        <w:t>tar el uso eficiente, se mejora la seguridad hídrica de la población y se mitiga el riesgo de desabastecimiento en futuras crisis. Más de 10 millones de personas dependen del sistema de acueducto regional</w:t>
      </w:r>
      <w:r>
        <w:rPr>
          <w:sz w:val="22"/>
          <w:szCs w:val="22"/>
          <w:highlight w:val="white"/>
          <w:vertAlign w:val="superscript"/>
        </w:rPr>
        <w:footnoteReference w:id="6"/>
      </w:r>
      <w:r>
        <w:rPr>
          <w:sz w:val="22"/>
          <w:szCs w:val="22"/>
          <w:highlight w:val="white"/>
        </w:rPr>
        <w:t xml:space="preserve"> (EAAB, 2025), por lo que reducir dicha dependencia</w:t>
      </w:r>
      <w:r>
        <w:rPr>
          <w:sz w:val="22"/>
          <w:szCs w:val="22"/>
          <w:highlight w:val="white"/>
        </w:rPr>
        <w:t xml:space="preserve"> mediante agua lluvia o reciclada contribuye a garantizar el suministro para todos, incluso en zonas periféricas o comunidades vulnerables. Las autoridades locales han reconocido esta prioridad: en marzo de 2025, la Empresa de Acueducto y Alcantarillado de</w:t>
      </w:r>
      <w:r>
        <w:rPr>
          <w:sz w:val="22"/>
          <w:szCs w:val="22"/>
          <w:highlight w:val="white"/>
        </w:rPr>
        <w:t xml:space="preserve"> Bogotá (EAAB) anunció un piloto para reutilizar agua residual tratada de la Planta Salitre en la </w:t>
      </w:r>
      <w:r>
        <w:rPr>
          <w:sz w:val="22"/>
          <w:szCs w:val="22"/>
          <w:highlight w:val="white"/>
        </w:rPr>
        <w:lastRenderedPageBreak/>
        <w:t>industria, con el fin de disminuir la presión sobre el suministro de agua potable de la ciudad. Según la gerente de la EAAB, el reúso de aguas residuales en p</w:t>
      </w:r>
      <w:r>
        <w:rPr>
          <w:sz w:val="22"/>
          <w:szCs w:val="22"/>
          <w:highlight w:val="white"/>
        </w:rPr>
        <w:t>rocesos industriales “reduce la presión sobre los sistemas de abastecimiento de agua potable y contribuye a la seguridad hídrica” de Bogotá</w:t>
      </w:r>
      <w:r>
        <w:rPr>
          <w:sz w:val="22"/>
          <w:szCs w:val="22"/>
          <w:highlight w:val="white"/>
          <w:vertAlign w:val="superscript"/>
        </w:rPr>
        <w:footnoteReference w:id="7"/>
      </w:r>
      <w:r>
        <w:rPr>
          <w:sz w:val="22"/>
          <w:szCs w:val="22"/>
          <w:highlight w:val="white"/>
        </w:rPr>
        <w:t xml:space="preserve"> (Portafolio, 2025). Esto demuestra un compromiso institucional con el reciclaje de agua, buscando que el recurso di</w:t>
      </w:r>
      <w:r>
        <w:rPr>
          <w:sz w:val="22"/>
          <w:szCs w:val="22"/>
          <w:highlight w:val="white"/>
        </w:rPr>
        <w:t>sponible alcance para cubrir las necesidades básicas de la gente aun en tiempos de escasez.</w:t>
      </w:r>
    </w:p>
    <w:p w14:paraId="6A6CFFCB" w14:textId="77777777" w:rsidR="005A0908" w:rsidRDefault="001832EC">
      <w:pPr>
        <w:pBdr>
          <w:top w:val="nil"/>
          <w:left w:val="nil"/>
          <w:bottom w:val="nil"/>
          <w:right w:val="nil"/>
          <w:between w:val="nil"/>
        </w:pBdr>
        <w:spacing w:before="240" w:after="240" w:line="276" w:lineRule="auto"/>
        <w:rPr>
          <w:sz w:val="22"/>
          <w:szCs w:val="22"/>
          <w:highlight w:val="white"/>
        </w:rPr>
      </w:pPr>
      <w:r>
        <w:rPr>
          <w:sz w:val="22"/>
          <w:szCs w:val="22"/>
          <w:highlight w:val="white"/>
        </w:rPr>
        <w:t xml:space="preserve">En el ámbito urbano, el aprovechamiento de agua lluvia y la reutilización de aguas domésticas apoyan el desarrollo sostenible de la ciudad. Por un lado, capturar y </w:t>
      </w:r>
      <w:r>
        <w:rPr>
          <w:sz w:val="22"/>
          <w:szCs w:val="22"/>
          <w:highlight w:val="white"/>
        </w:rPr>
        <w:t>usar el agua de lluvia ayuda a controlar escorrentías e inundaciones en temporada de lluvias, lo que reduce riesgos para la infraestructura y los habitantes. De hecho, las autoridades califican esta estrategia como “sostenible y resiliente”, capaz de mitig</w:t>
      </w:r>
      <w:r>
        <w:rPr>
          <w:sz w:val="22"/>
          <w:szCs w:val="22"/>
          <w:highlight w:val="white"/>
        </w:rPr>
        <w:t>ar la escasez hídrica y reducir los riesgos de inundaciones al mismo tiempo</w:t>
      </w:r>
      <w:r>
        <w:rPr>
          <w:sz w:val="22"/>
          <w:szCs w:val="22"/>
          <w:highlight w:val="white"/>
          <w:vertAlign w:val="superscript"/>
        </w:rPr>
        <w:footnoteReference w:id="8"/>
      </w:r>
      <w:r>
        <w:rPr>
          <w:sz w:val="22"/>
          <w:szCs w:val="22"/>
          <w:highlight w:val="white"/>
        </w:rPr>
        <w:t xml:space="preserve"> (Alcaldía Mayor de Bogotá, 2025). Por otro lado, reusar el agua en vez de descargarla inmediatamente disminuye la carga sobre el alcantarillado y las plantas de tratamiento, optimizando su funcionamiento. Diversos proyectos arquitectónicos en Bogotá ya in</w:t>
      </w:r>
      <w:r>
        <w:rPr>
          <w:sz w:val="22"/>
          <w:szCs w:val="22"/>
          <w:highlight w:val="white"/>
        </w:rPr>
        <w:t>corporan sistemas de reciclaje de aguas lluvias y grises en edificios, empleando tanques de almacenamiento y filtros para emplear esta agua en limpieza o jardinería, lo que no solo baja el consumo de agua potable sino que promueve una cultura ciudadana más</w:t>
      </w:r>
      <w:r>
        <w:rPr>
          <w:sz w:val="22"/>
          <w:szCs w:val="22"/>
          <w:highlight w:val="white"/>
        </w:rPr>
        <w:t xml:space="preserve"> consciente y ecoeficiente</w:t>
      </w:r>
      <w:r>
        <w:rPr>
          <w:sz w:val="22"/>
          <w:szCs w:val="22"/>
          <w:highlight w:val="white"/>
          <w:vertAlign w:val="superscript"/>
        </w:rPr>
        <w:footnoteReference w:id="9"/>
      </w:r>
      <w:r>
        <w:rPr>
          <w:sz w:val="22"/>
          <w:szCs w:val="22"/>
          <w:highlight w:val="white"/>
        </w:rPr>
        <w:t xml:space="preserve"> (El Tiempo, 2025). En síntesis, estas prácticas hacen a la ciudad más resiliente frente al clima y más equilibrada en su ciclo hídrico urbano.</w:t>
      </w:r>
    </w:p>
    <w:p w14:paraId="729E0F3F" w14:textId="77777777" w:rsidR="005A0908" w:rsidRDefault="001832EC">
      <w:pPr>
        <w:pBdr>
          <w:top w:val="nil"/>
          <w:left w:val="nil"/>
          <w:bottom w:val="nil"/>
          <w:right w:val="nil"/>
          <w:between w:val="nil"/>
        </w:pBdr>
        <w:spacing w:before="240" w:after="240" w:line="276" w:lineRule="auto"/>
        <w:rPr>
          <w:b/>
          <w:sz w:val="22"/>
          <w:szCs w:val="22"/>
        </w:rPr>
      </w:pPr>
      <w:r>
        <w:rPr>
          <w:sz w:val="22"/>
          <w:szCs w:val="22"/>
          <w:highlight w:val="white"/>
        </w:rPr>
        <w:t>Aprovechar el agua lluvia y reciclar el agua doméstica son, en conclusión, medidas de</w:t>
      </w:r>
      <w:r>
        <w:rPr>
          <w:sz w:val="22"/>
          <w:szCs w:val="22"/>
          <w:highlight w:val="white"/>
        </w:rPr>
        <w:t xml:space="preserve"> gran importancia para Bogotá. Además de aportar evidentes beneficios ambientales (conservación del recurso y adaptación climática), sociales (garantía de abastecimiento y participación comunitaria en el ahorro) y urbanos (mejor gestión de aguas lluvias y </w:t>
      </w:r>
      <w:r>
        <w:rPr>
          <w:sz w:val="22"/>
          <w:szCs w:val="22"/>
          <w:highlight w:val="white"/>
        </w:rPr>
        <w:t>planificación sostenible), constituyen respuestas necesarias ante los desafíos actuales de la ciudad. La reciente crisis hídrica ha dejado lecciones sobre la vulnerabilidad del modelo tradicional de abastecimiento. Frente a un futuro con eventos climáticos</w:t>
      </w:r>
      <w:r>
        <w:rPr>
          <w:sz w:val="22"/>
          <w:szCs w:val="22"/>
          <w:highlight w:val="white"/>
        </w:rPr>
        <w:t xml:space="preserve"> impredecibles y demanda creciente, Bogotá avanza en la implementación de soluciones innovadoras como los kits de recolección de lluvia para miles de hogares y proyectos de reúso de aguas residuales, con respaldo técnico y normativo. Fortalecer y masificar</w:t>
      </w:r>
      <w:r>
        <w:rPr>
          <w:sz w:val="22"/>
          <w:szCs w:val="22"/>
          <w:highlight w:val="white"/>
        </w:rPr>
        <w:t xml:space="preserve"> estas iniciativas ayudará a que la capital colombiana asegure agua </w:t>
      </w:r>
      <w:r>
        <w:rPr>
          <w:sz w:val="22"/>
          <w:szCs w:val="22"/>
          <w:highlight w:val="white"/>
        </w:rPr>
        <w:lastRenderedPageBreak/>
        <w:t>potable para sus habitantes a largo plazo, reduciendo la dependencia de los embalses y construyendo una ciudad más sostenible y preparada para los retos hídricos del siglo XXI (Alcaldía Ma</w:t>
      </w:r>
      <w:r>
        <w:rPr>
          <w:sz w:val="22"/>
          <w:szCs w:val="22"/>
          <w:highlight w:val="white"/>
        </w:rPr>
        <w:t>yor de Bogotá, 2025).</w:t>
      </w:r>
    </w:p>
    <w:p w14:paraId="34BBD16F" w14:textId="77777777" w:rsidR="005A0908" w:rsidRDefault="001832EC">
      <w:pPr>
        <w:numPr>
          <w:ilvl w:val="0"/>
          <w:numId w:val="2"/>
        </w:numPr>
        <w:pBdr>
          <w:top w:val="nil"/>
          <w:left w:val="nil"/>
          <w:bottom w:val="nil"/>
          <w:right w:val="nil"/>
          <w:between w:val="nil"/>
        </w:pBdr>
        <w:spacing w:before="240" w:after="240"/>
        <w:rPr>
          <w:sz w:val="22"/>
          <w:szCs w:val="22"/>
          <w:highlight w:val="white"/>
        </w:rPr>
      </w:pPr>
      <w:r>
        <w:rPr>
          <w:b/>
          <w:sz w:val="22"/>
          <w:szCs w:val="22"/>
          <w:highlight w:val="white"/>
        </w:rPr>
        <w:t>CONCLUSIÓN</w:t>
      </w:r>
    </w:p>
    <w:p w14:paraId="245E5862" w14:textId="77777777" w:rsidR="005A0908" w:rsidRDefault="001832EC">
      <w:pPr>
        <w:spacing w:before="240" w:after="240"/>
        <w:rPr>
          <w:b/>
          <w:sz w:val="22"/>
          <w:szCs w:val="22"/>
          <w:highlight w:val="white"/>
        </w:rPr>
      </w:pPr>
      <w:r>
        <w:rPr>
          <w:sz w:val="22"/>
          <w:szCs w:val="22"/>
          <w:highlight w:val="white"/>
        </w:rPr>
        <w:t xml:space="preserve">Teniendo en cuenta lo expuesto anteriormente, me permito rendir </w:t>
      </w:r>
      <w:r>
        <w:rPr>
          <w:b/>
          <w:sz w:val="22"/>
          <w:szCs w:val="22"/>
          <w:highlight w:val="white"/>
        </w:rPr>
        <w:t xml:space="preserve">PONENCIA POSITIVA </w:t>
      </w:r>
      <w:r>
        <w:rPr>
          <w:sz w:val="22"/>
          <w:szCs w:val="22"/>
          <w:highlight w:val="white"/>
        </w:rPr>
        <w:t xml:space="preserve">al Proyecto de Acuerdo </w:t>
      </w:r>
      <w:r>
        <w:rPr>
          <w:sz w:val="22"/>
          <w:szCs w:val="22"/>
        </w:rPr>
        <w:t>No. 510 de 2025</w:t>
      </w:r>
      <w:r>
        <w:rPr>
          <w:sz w:val="22"/>
          <w:szCs w:val="22"/>
          <w:highlight w:val="white"/>
        </w:rPr>
        <w:t xml:space="preserve"> </w:t>
      </w:r>
      <w:r>
        <w:rPr>
          <w:b/>
          <w:i/>
          <w:sz w:val="22"/>
          <w:szCs w:val="22"/>
        </w:rPr>
        <w:t xml:space="preserve">“Por medio del cual se fortalecen estrategias pedagógicas y de comunicación, enfocadas al </w:t>
      </w:r>
      <w:r>
        <w:rPr>
          <w:b/>
          <w:i/>
          <w:sz w:val="22"/>
          <w:szCs w:val="22"/>
        </w:rPr>
        <w:t>aprovechamiento de agua lluvia y reciclaje de aguas domésticas en la ciudad de Bogotá”.</w:t>
      </w:r>
      <w:r>
        <w:rPr>
          <w:b/>
          <w:sz w:val="22"/>
          <w:szCs w:val="22"/>
          <w:highlight w:val="white"/>
        </w:rPr>
        <w:t xml:space="preserve"> </w:t>
      </w:r>
    </w:p>
    <w:p w14:paraId="52715EE6" w14:textId="77777777" w:rsidR="005A0908" w:rsidRDefault="001832EC">
      <w:pPr>
        <w:spacing w:line="276" w:lineRule="auto"/>
        <w:rPr>
          <w:sz w:val="22"/>
          <w:szCs w:val="22"/>
        </w:rPr>
      </w:pPr>
      <w:r>
        <w:rPr>
          <w:noProof/>
        </w:rPr>
        <w:drawing>
          <wp:anchor distT="0" distB="0" distL="114300" distR="114300" simplePos="0" relativeHeight="251659264" behindDoc="0" locked="0" layoutInCell="1" hidden="0" allowOverlap="1" wp14:anchorId="31C72609" wp14:editId="400AF98B">
            <wp:simplePos x="0" y="0"/>
            <wp:positionH relativeFrom="column">
              <wp:posOffset>-733419</wp:posOffset>
            </wp:positionH>
            <wp:positionV relativeFrom="paragraph">
              <wp:posOffset>169213</wp:posOffset>
            </wp:positionV>
            <wp:extent cx="3495675" cy="1495425"/>
            <wp:effectExtent l="0" t="0" r="0" b="0"/>
            <wp:wrapNone/>
            <wp:docPr id="3" name="image3.png" descr="https://lh7-us.googleusercontent.com/WQknX2-90AIusJNMoPTaXyYlZ4AaRdZP8iXzJZBlDGoPjGA0UBwKfmF3LzfYJh-1pPB2YmJ0BOwTln3OD3z0Q0Dw_Hml_CJaGoDJ66NEA33p8n1Z8chWDXLA4juVLhq82FAH-Xe50Jo0"/>
            <wp:cNvGraphicFramePr/>
            <a:graphic xmlns:a="http://schemas.openxmlformats.org/drawingml/2006/main">
              <a:graphicData uri="http://schemas.openxmlformats.org/drawingml/2006/picture">
                <pic:pic xmlns:pic="http://schemas.openxmlformats.org/drawingml/2006/picture">
                  <pic:nvPicPr>
                    <pic:cNvPr id="0" name="image3.png" descr="https://lh7-us.googleusercontent.com/WQknX2-90AIusJNMoPTaXyYlZ4AaRdZP8iXzJZBlDGoPjGA0UBwKfmF3LzfYJh-1pPB2YmJ0BOwTln3OD3z0Q0Dw_Hml_CJaGoDJ66NEA33p8n1Z8chWDXLA4juVLhq82FAH-Xe50Jo0"/>
                    <pic:cNvPicPr preferRelativeResize="0"/>
                  </pic:nvPicPr>
                  <pic:blipFill>
                    <a:blip r:embed="rId8"/>
                    <a:srcRect/>
                    <a:stretch>
                      <a:fillRect/>
                    </a:stretch>
                  </pic:blipFill>
                  <pic:spPr>
                    <a:xfrm>
                      <a:off x="0" y="0"/>
                      <a:ext cx="3495675" cy="1495425"/>
                    </a:xfrm>
                    <a:prstGeom prst="rect">
                      <a:avLst/>
                    </a:prstGeom>
                    <a:ln/>
                  </pic:spPr>
                </pic:pic>
              </a:graphicData>
            </a:graphic>
          </wp:anchor>
        </w:drawing>
      </w:r>
    </w:p>
    <w:p w14:paraId="62527957" w14:textId="77777777" w:rsidR="005A0908" w:rsidRDefault="005A0908">
      <w:pPr>
        <w:spacing w:line="276" w:lineRule="auto"/>
        <w:rPr>
          <w:sz w:val="22"/>
          <w:szCs w:val="22"/>
        </w:rPr>
      </w:pPr>
    </w:p>
    <w:p w14:paraId="1105EC01" w14:textId="77777777" w:rsidR="005A0908" w:rsidRDefault="001832EC">
      <w:pPr>
        <w:spacing w:line="276" w:lineRule="auto"/>
        <w:rPr>
          <w:sz w:val="22"/>
          <w:szCs w:val="22"/>
        </w:rPr>
      </w:pPr>
      <w:r>
        <w:rPr>
          <w:sz w:val="22"/>
          <w:szCs w:val="22"/>
        </w:rPr>
        <w:t>Cordialmente,</w:t>
      </w:r>
    </w:p>
    <w:p w14:paraId="2B3B9D55" w14:textId="77777777" w:rsidR="005A0908" w:rsidRDefault="005A0908">
      <w:pPr>
        <w:spacing w:line="276" w:lineRule="auto"/>
        <w:rPr>
          <w:sz w:val="22"/>
          <w:szCs w:val="22"/>
        </w:rPr>
      </w:pPr>
    </w:p>
    <w:p w14:paraId="290F9DD9" w14:textId="77777777" w:rsidR="005A0908" w:rsidRDefault="005A0908">
      <w:pPr>
        <w:spacing w:line="276" w:lineRule="auto"/>
        <w:rPr>
          <w:sz w:val="22"/>
          <w:szCs w:val="22"/>
        </w:rPr>
      </w:pPr>
    </w:p>
    <w:p w14:paraId="57274ABF" w14:textId="77777777" w:rsidR="005A0908" w:rsidRDefault="005A0908">
      <w:pPr>
        <w:spacing w:line="276" w:lineRule="auto"/>
        <w:rPr>
          <w:sz w:val="22"/>
          <w:szCs w:val="22"/>
        </w:rPr>
      </w:pPr>
    </w:p>
    <w:p w14:paraId="196B7514" w14:textId="77777777" w:rsidR="005A0908" w:rsidRDefault="005A0908">
      <w:pPr>
        <w:spacing w:line="276" w:lineRule="auto"/>
        <w:rPr>
          <w:sz w:val="22"/>
          <w:szCs w:val="22"/>
        </w:rPr>
      </w:pPr>
    </w:p>
    <w:p w14:paraId="4A774520" w14:textId="77777777" w:rsidR="005A0908" w:rsidRDefault="005A0908">
      <w:pPr>
        <w:spacing w:line="276" w:lineRule="auto"/>
        <w:rPr>
          <w:b/>
          <w:sz w:val="22"/>
          <w:szCs w:val="22"/>
        </w:rPr>
      </w:pPr>
    </w:p>
    <w:p w14:paraId="5CA3B3B1" w14:textId="77777777" w:rsidR="005A0908" w:rsidRDefault="001832EC">
      <w:pPr>
        <w:spacing w:line="276" w:lineRule="auto"/>
        <w:rPr>
          <w:b/>
          <w:sz w:val="22"/>
          <w:szCs w:val="22"/>
        </w:rPr>
      </w:pPr>
      <w:r>
        <w:rPr>
          <w:b/>
          <w:sz w:val="22"/>
          <w:szCs w:val="22"/>
        </w:rPr>
        <w:t xml:space="preserve">OSCAR JAIME RAMÍREZ VAHOS                    </w:t>
      </w:r>
    </w:p>
    <w:p w14:paraId="0F3169B1" w14:textId="77777777" w:rsidR="005A0908" w:rsidRDefault="001832EC">
      <w:pPr>
        <w:spacing w:line="276" w:lineRule="auto"/>
        <w:rPr>
          <w:sz w:val="22"/>
          <w:szCs w:val="22"/>
        </w:rPr>
      </w:pPr>
      <w:r>
        <w:rPr>
          <w:sz w:val="22"/>
          <w:szCs w:val="22"/>
        </w:rPr>
        <w:t xml:space="preserve">Partido Centro Democrático                              </w:t>
      </w:r>
      <w:r>
        <w:rPr>
          <w:b/>
          <w:sz w:val="22"/>
          <w:szCs w:val="22"/>
        </w:rPr>
        <w:t xml:space="preserve">               </w:t>
      </w:r>
    </w:p>
    <w:p w14:paraId="75B05D5A" w14:textId="77777777" w:rsidR="005A0908" w:rsidRDefault="005A0908">
      <w:pPr>
        <w:tabs>
          <w:tab w:val="left" w:pos="8789"/>
        </w:tabs>
        <w:spacing w:before="240" w:after="240"/>
        <w:ind w:left="720"/>
        <w:jc w:val="center"/>
        <w:rPr>
          <w:b/>
          <w:sz w:val="22"/>
          <w:szCs w:val="22"/>
          <w:highlight w:val="white"/>
        </w:rPr>
      </w:pPr>
    </w:p>
    <w:p w14:paraId="09FA2C6D" w14:textId="77777777" w:rsidR="005A0908" w:rsidRDefault="005A0908">
      <w:pPr>
        <w:tabs>
          <w:tab w:val="left" w:pos="8789"/>
        </w:tabs>
        <w:spacing w:before="240" w:after="240"/>
        <w:ind w:left="720"/>
        <w:jc w:val="center"/>
        <w:rPr>
          <w:b/>
          <w:sz w:val="22"/>
          <w:szCs w:val="22"/>
          <w:highlight w:val="white"/>
        </w:rPr>
      </w:pPr>
    </w:p>
    <w:p w14:paraId="5D870645" w14:textId="77777777" w:rsidR="005A0908" w:rsidRDefault="005A0908">
      <w:pPr>
        <w:tabs>
          <w:tab w:val="left" w:pos="8789"/>
        </w:tabs>
        <w:spacing w:before="240" w:after="240"/>
        <w:ind w:left="720"/>
        <w:jc w:val="center"/>
        <w:rPr>
          <w:b/>
          <w:sz w:val="22"/>
          <w:szCs w:val="22"/>
          <w:highlight w:val="white"/>
        </w:rPr>
      </w:pPr>
    </w:p>
    <w:p w14:paraId="20087982" w14:textId="77777777" w:rsidR="005A0908" w:rsidRDefault="005A0908">
      <w:pPr>
        <w:tabs>
          <w:tab w:val="left" w:pos="8789"/>
        </w:tabs>
        <w:spacing w:before="240" w:after="240"/>
        <w:ind w:left="720"/>
        <w:jc w:val="center"/>
        <w:rPr>
          <w:b/>
          <w:sz w:val="22"/>
          <w:szCs w:val="22"/>
          <w:highlight w:val="white"/>
        </w:rPr>
      </w:pPr>
    </w:p>
    <w:p w14:paraId="002A2E0C" w14:textId="77777777" w:rsidR="005A0908" w:rsidRDefault="005A0908">
      <w:pPr>
        <w:tabs>
          <w:tab w:val="left" w:pos="8789"/>
        </w:tabs>
        <w:spacing w:before="240" w:after="240"/>
        <w:ind w:left="720"/>
        <w:jc w:val="center"/>
        <w:rPr>
          <w:b/>
          <w:sz w:val="22"/>
          <w:szCs w:val="22"/>
          <w:highlight w:val="white"/>
        </w:rPr>
      </w:pPr>
    </w:p>
    <w:p w14:paraId="4EC52364" w14:textId="77777777" w:rsidR="008B2AA3" w:rsidRDefault="008B2AA3">
      <w:pPr>
        <w:tabs>
          <w:tab w:val="left" w:pos="8789"/>
        </w:tabs>
        <w:spacing w:before="240" w:after="240"/>
        <w:ind w:left="720"/>
        <w:jc w:val="center"/>
        <w:rPr>
          <w:b/>
          <w:sz w:val="22"/>
          <w:szCs w:val="22"/>
          <w:highlight w:val="white"/>
        </w:rPr>
      </w:pPr>
    </w:p>
    <w:p w14:paraId="14BEF160" w14:textId="77777777" w:rsidR="008B2AA3" w:rsidRDefault="008B2AA3">
      <w:pPr>
        <w:tabs>
          <w:tab w:val="left" w:pos="8789"/>
        </w:tabs>
        <w:spacing w:before="240" w:after="240"/>
        <w:ind w:left="720"/>
        <w:jc w:val="center"/>
        <w:rPr>
          <w:b/>
          <w:sz w:val="22"/>
          <w:szCs w:val="22"/>
          <w:highlight w:val="white"/>
        </w:rPr>
      </w:pPr>
    </w:p>
    <w:p w14:paraId="0CED6443" w14:textId="77777777" w:rsidR="008B2AA3" w:rsidRDefault="008B2AA3">
      <w:pPr>
        <w:tabs>
          <w:tab w:val="left" w:pos="8789"/>
        </w:tabs>
        <w:spacing w:before="240" w:after="240"/>
        <w:ind w:left="720"/>
        <w:jc w:val="center"/>
        <w:rPr>
          <w:b/>
          <w:sz w:val="22"/>
          <w:szCs w:val="22"/>
          <w:highlight w:val="white"/>
        </w:rPr>
      </w:pPr>
    </w:p>
    <w:p w14:paraId="5A88B002" w14:textId="77777777" w:rsidR="008B2AA3" w:rsidRDefault="008B2AA3">
      <w:pPr>
        <w:tabs>
          <w:tab w:val="left" w:pos="8789"/>
        </w:tabs>
        <w:spacing w:before="240" w:after="240"/>
        <w:ind w:left="720"/>
        <w:jc w:val="center"/>
        <w:rPr>
          <w:b/>
          <w:sz w:val="22"/>
          <w:szCs w:val="22"/>
          <w:highlight w:val="white"/>
        </w:rPr>
      </w:pPr>
    </w:p>
    <w:p w14:paraId="6D353037" w14:textId="77777777" w:rsidR="005A0908" w:rsidRDefault="001832EC">
      <w:pPr>
        <w:tabs>
          <w:tab w:val="left" w:pos="8789"/>
        </w:tabs>
        <w:spacing w:before="240" w:after="240"/>
        <w:jc w:val="center"/>
        <w:rPr>
          <w:b/>
          <w:sz w:val="22"/>
          <w:szCs w:val="22"/>
          <w:highlight w:val="white"/>
        </w:rPr>
      </w:pPr>
      <w:r>
        <w:rPr>
          <w:b/>
          <w:sz w:val="22"/>
          <w:szCs w:val="22"/>
          <w:highlight w:val="white"/>
        </w:rPr>
        <w:lastRenderedPageBreak/>
        <w:t xml:space="preserve">PROYECTO DE </w:t>
      </w:r>
      <w:r>
        <w:rPr>
          <w:b/>
          <w:sz w:val="22"/>
          <w:szCs w:val="22"/>
          <w:highlight w:val="white"/>
        </w:rPr>
        <w:t>ACUERDO No. 510 DE 2025</w:t>
      </w:r>
    </w:p>
    <w:p w14:paraId="2C878E1E" w14:textId="77777777" w:rsidR="005A0908" w:rsidRDefault="001832EC">
      <w:pPr>
        <w:spacing w:before="240" w:after="240"/>
        <w:ind w:right="12"/>
        <w:jc w:val="center"/>
        <w:rPr>
          <w:b/>
          <w:sz w:val="22"/>
          <w:szCs w:val="22"/>
          <w:highlight w:val="white"/>
        </w:rPr>
      </w:pPr>
      <w:r>
        <w:rPr>
          <w:b/>
          <w:sz w:val="22"/>
          <w:szCs w:val="22"/>
        </w:rPr>
        <w:t xml:space="preserve">“POR MEDIO DEL CUAL SE FORTALECEN ESTRATEGIAS PEDAGÓGICAS Y DE COMUNICACIÓN, ENFOCADAS AL APROVECHAMIENTO DE AGUA LLUVIA Y RECICLAJE DE AGUAS DOMÉSTICAS EN LA CIUDAD DE BOGOTÁ” </w:t>
      </w:r>
    </w:p>
    <w:p w14:paraId="6763D88E" w14:textId="77777777" w:rsidR="005A0908" w:rsidRDefault="001832EC">
      <w:pPr>
        <w:ind w:right="160"/>
        <w:jc w:val="center"/>
        <w:rPr>
          <w:b/>
          <w:sz w:val="22"/>
          <w:szCs w:val="22"/>
          <w:highlight w:val="white"/>
        </w:rPr>
      </w:pPr>
      <w:r>
        <w:rPr>
          <w:b/>
          <w:sz w:val="22"/>
          <w:szCs w:val="22"/>
          <w:highlight w:val="white"/>
        </w:rPr>
        <w:t>EL CONCEJO DE BOGOTÁ D.C.</w:t>
      </w:r>
    </w:p>
    <w:p w14:paraId="7C77C09C" w14:textId="77777777" w:rsidR="005A0908" w:rsidRDefault="001832EC">
      <w:pPr>
        <w:spacing w:before="240" w:after="240"/>
        <w:jc w:val="center"/>
        <w:rPr>
          <w:b/>
          <w:sz w:val="22"/>
          <w:szCs w:val="22"/>
          <w:highlight w:val="white"/>
        </w:rPr>
      </w:pPr>
      <w:r>
        <w:rPr>
          <w:sz w:val="22"/>
          <w:szCs w:val="22"/>
          <w:highlight w:val="white"/>
        </w:rPr>
        <w:t>En ejercicio de sus atribuci</w:t>
      </w:r>
      <w:r>
        <w:rPr>
          <w:sz w:val="22"/>
          <w:szCs w:val="22"/>
          <w:highlight w:val="white"/>
        </w:rPr>
        <w:t>ones constitucionales y legales, en especial las conferidas por los numerales 1 y 9 del artículo 313 de la Constitución Política, y los numerales 1 y 13 del artículo 12 del Decreto Ley 1421 de 1993</w:t>
      </w:r>
    </w:p>
    <w:p w14:paraId="192518A3" w14:textId="77777777" w:rsidR="005A0908" w:rsidRDefault="001832EC">
      <w:pPr>
        <w:spacing w:before="240" w:after="240"/>
        <w:jc w:val="center"/>
        <w:rPr>
          <w:b/>
          <w:sz w:val="22"/>
          <w:szCs w:val="22"/>
          <w:highlight w:val="white"/>
        </w:rPr>
      </w:pPr>
      <w:r>
        <w:rPr>
          <w:b/>
          <w:sz w:val="22"/>
          <w:szCs w:val="22"/>
          <w:highlight w:val="white"/>
        </w:rPr>
        <w:t>ACUERDA:</w:t>
      </w:r>
    </w:p>
    <w:p w14:paraId="3F2ED159" w14:textId="77777777" w:rsidR="005A0908" w:rsidRDefault="001832EC">
      <w:pPr>
        <w:tabs>
          <w:tab w:val="left" w:pos="8614"/>
        </w:tabs>
        <w:spacing w:before="240" w:after="240"/>
        <w:ind w:right="600"/>
        <w:rPr>
          <w:sz w:val="22"/>
          <w:szCs w:val="22"/>
          <w:highlight w:val="white"/>
        </w:rPr>
      </w:pPr>
      <w:r>
        <w:rPr>
          <w:b/>
          <w:sz w:val="22"/>
          <w:szCs w:val="22"/>
          <w:highlight w:val="white"/>
        </w:rPr>
        <w:t xml:space="preserve">Artículo 1. Objeto. </w:t>
      </w:r>
      <w:r>
        <w:rPr>
          <w:sz w:val="22"/>
          <w:szCs w:val="22"/>
          <w:highlight w:val="white"/>
        </w:rPr>
        <w:t>El presente Proyecto de Acuer</w:t>
      </w:r>
      <w:r>
        <w:rPr>
          <w:sz w:val="22"/>
          <w:szCs w:val="22"/>
          <w:highlight w:val="white"/>
        </w:rPr>
        <w:t>do tiene por objeto fortalecer las estrategias pedagógicas y de comunicación enfocadas al aprovechamiento de aguas lluvia y reciclaje de aguas domésticas en la ciudad de Bogotá, con el fin de sensibilizar y crear conciencia sobre el buen uso del agua lluvi</w:t>
      </w:r>
      <w:r>
        <w:rPr>
          <w:sz w:val="22"/>
          <w:szCs w:val="22"/>
          <w:highlight w:val="white"/>
        </w:rPr>
        <w:t>a, el cuidado y protección del agua potable y del medio ambiente.</w:t>
      </w:r>
    </w:p>
    <w:p w14:paraId="02221CA7" w14:textId="77777777" w:rsidR="005A0908" w:rsidRDefault="001832EC">
      <w:pPr>
        <w:ind w:right="600"/>
        <w:rPr>
          <w:sz w:val="22"/>
          <w:szCs w:val="22"/>
          <w:highlight w:val="white"/>
        </w:rPr>
      </w:pPr>
      <w:r>
        <w:rPr>
          <w:b/>
          <w:sz w:val="22"/>
          <w:szCs w:val="22"/>
          <w:highlight w:val="white"/>
        </w:rPr>
        <w:t xml:space="preserve">Artículo 2. Lineamientos. </w:t>
      </w:r>
      <w:r>
        <w:rPr>
          <w:sz w:val="22"/>
          <w:szCs w:val="22"/>
          <w:highlight w:val="white"/>
        </w:rPr>
        <w:t>Establecer lineamientos para la formulación de “Política Pública sobre el aprovechamiento de agua lluvia y reciclaje de aguas domésticas en el Distrito Capital” sob</w:t>
      </w:r>
      <w:r>
        <w:rPr>
          <w:sz w:val="22"/>
          <w:szCs w:val="22"/>
          <w:highlight w:val="white"/>
        </w:rPr>
        <w:t>re la importancia de cuidar y ahorrar el agua potable.</w:t>
      </w:r>
    </w:p>
    <w:p w14:paraId="71B1D38F" w14:textId="77777777" w:rsidR="005A0908" w:rsidRDefault="005A0908">
      <w:pPr>
        <w:ind w:right="600"/>
        <w:rPr>
          <w:sz w:val="22"/>
          <w:szCs w:val="22"/>
          <w:highlight w:val="white"/>
        </w:rPr>
      </w:pPr>
    </w:p>
    <w:p w14:paraId="4E0E0B30" w14:textId="77777777" w:rsidR="005A0908" w:rsidRDefault="001832EC">
      <w:pPr>
        <w:ind w:left="720" w:right="600"/>
        <w:rPr>
          <w:sz w:val="22"/>
          <w:szCs w:val="22"/>
          <w:highlight w:val="white"/>
        </w:rPr>
      </w:pPr>
      <w:r>
        <w:rPr>
          <w:b/>
          <w:sz w:val="22"/>
          <w:szCs w:val="22"/>
          <w:highlight w:val="white"/>
        </w:rPr>
        <w:t>Parágrafo 1.</w:t>
      </w:r>
      <w:r>
        <w:rPr>
          <w:sz w:val="22"/>
          <w:szCs w:val="22"/>
          <w:highlight w:val="white"/>
        </w:rPr>
        <w:t xml:space="preserve"> Formular e implementar una política con una visión pedagógica, participativa y comunicativa en materia ambiental sobre el uso y aprovechamiento de agua lluvia y reciclaje de aguas domésti</w:t>
      </w:r>
      <w:r>
        <w:rPr>
          <w:sz w:val="22"/>
          <w:szCs w:val="22"/>
          <w:highlight w:val="white"/>
        </w:rPr>
        <w:t>cas en la ciudad de Bogotá</w:t>
      </w:r>
    </w:p>
    <w:p w14:paraId="0BD0131F" w14:textId="77777777" w:rsidR="005A0908" w:rsidRDefault="005A0908">
      <w:pPr>
        <w:ind w:right="600"/>
        <w:rPr>
          <w:sz w:val="22"/>
          <w:szCs w:val="22"/>
          <w:highlight w:val="white"/>
        </w:rPr>
      </w:pPr>
    </w:p>
    <w:p w14:paraId="487A4834" w14:textId="77777777" w:rsidR="005A0908" w:rsidRDefault="001832EC">
      <w:pPr>
        <w:ind w:left="720" w:right="600"/>
        <w:rPr>
          <w:sz w:val="22"/>
          <w:szCs w:val="22"/>
          <w:highlight w:val="white"/>
        </w:rPr>
      </w:pPr>
      <w:r>
        <w:rPr>
          <w:b/>
          <w:sz w:val="22"/>
          <w:szCs w:val="22"/>
          <w:highlight w:val="white"/>
        </w:rPr>
        <w:t>Parágrafo 2.</w:t>
      </w:r>
      <w:r>
        <w:rPr>
          <w:sz w:val="22"/>
          <w:szCs w:val="22"/>
          <w:highlight w:val="white"/>
        </w:rPr>
        <w:t xml:space="preserve"> La Administración Distrital o la entidad que haga sus veces desarrollará estratégicas pedagógicas y de comunicación, sobre el uso y aprovechamiento de agua lluvia y reciclaje de aguas domésticas en la ciudad de Bogo</w:t>
      </w:r>
      <w:r>
        <w:rPr>
          <w:sz w:val="22"/>
          <w:szCs w:val="22"/>
          <w:highlight w:val="white"/>
        </w:rPr>
        <w:t>tá.</w:t>
      </w:r>
    </w:p>
    <w:p w14:paraId="1630D8B9" w14:textId="77777777" w:rsidR="005A0908" w:rsidRDefault="005A0908">
      <w:pPr>
        <w:ind w:right="600"/>
        <w:rPr>
          <w:sz w:val="22"/>
          <w:szCs w:val="22"/>
          <w:highlight w:val="white"/>
        </w:rPr>
      </w:pPr>
    </w:p>
    <w:p w14:paraId="6AF6DEE9" w14:textId="645EB77D" w:rsidR="005A0908" w:rsidRDefault="001832EC">
      <w:pPr>
        <w:ind w:right="600"/>
        <w:rPr>
          <w:sz w:val="22"/>
          <w:szCs w:val="22"/>
          <w:highlight w:val="white"/>
        </w:rPr>
      </w:pPr>
      <w:r>
        <w:rPr>
          <w:b/>
          <w:sz w:val="22"/>
          <w:szCs w:val="22"/>
          <w:highlight w:val="white"/>
        </w:rPr>
        <w:t xml:space="preserve">Artículo 3. Importancia </w:t>
      </w:r>
      <w:r w:rsidR="008B2AA3">
        <w:rPr>
          <w:b/>
          <w:sz w:val="22"/>
          <w:szCs w:val="22"/>
          <w:highlight w:val="white"/>
        </w:rPr>
        <w:t>de</w:t>
      </w:r>
      <w:r>
        <w:rPr>
          <w:b/>
          <w:sz w:val="22"/>
          <w:szCs w:val="22"/>
          <w:highlight w:val="white"/>
        </w:rPr>
        <w:t xml:space="preserve"> </w:t>
      </w:r>
      <w:r w:rsidR="008B2AA3">
        <w:rPr>
          <w:b/>
          <w:sz w:val="22"/>
          <w:szCs w:val="22"/>
          <w:highlight w:val="white"/>
        </w:rPr>
        <w:t xml:space="preserve">la </w:t>
      </w:r>
      <w:r>
        <w:rPr>
          <w:b/>
          <w:sz w:val="22"/>
          <w:szCs w:val="22"/>
          <w:highlight w:val="white"/>
        </w:rPr>
        <w:t>Educación</w:t>
      </w:r>
      <w:r w:rsidR="008B2AA3">
        <w:rPr>
          <w:b/>
          <w:sz w:val="22"/>
          <w:szCs w:val="22"/>
          <w:highlight w:val="white"/>
        </w:rPr>
        <w:t xml:space="preserve"> </w:t>
      </w:r>
      <w:r>
        <w:rPr>
          <w:b/>
          <w:sz w:val="22"/>
          <w:szCs w:val="22"/>
          <w:highlight w:val="white"/>
        </w:rPr>
        <w:t xml:space="preserve">Ambiental. </w:t>
      </w:r>
      <w:r>
        <w:rPr>
          <w:sz w:val="22"/>
          <w:szCs w:val="22"/>
          <w:highlight w:val="white"/>
        </w:rPr>
        <w:t>La Administración Distrital propenderá por:</w:t>
      </w:r>
    </w:p>
    <w:p w14:paraId="1BD28935" w14:textId="77777777" w:rsidR="005A0908" w:rsidRDefault="005A0908">
      <w:pPr>
        <w:ind w:right="600"/>
        <w:rPr>
          <w:sz w:val="22"/>
          <w:szCs w:val="22"/>
          <w:highlight w:val="white"/>
        </w:rPr>
      </w:pPr>
    </w:p>
    <w:p w14:paraId="76E673C4" w14:textId="77777777" w:rsidR="005A0908" w:rsidRDefault="001832EC">
      <w:pPr>
        <w:numPr>
          <w:ilvl w:val="0"/>
          <w:numId w:val="3"/>
        </w:numPr>
        <w:ind w:right="600"/>
        <w:rPr>
          <w:sz w:val="22"/>
          <w:szCs w:val="22"/>
          <w:highlight w:val="white"/>
        </w:rPr>
      </w:pPr>
      <w:r>
        <w:rPr>
          <w:sz w:val="22"/>
          <w:szCs w:val="22"/>
          <w:highlight w:val="white"/>
        </w:rPr>
        <w:t xml:space="preserve">Fortalecer a través de actividades pedagógicas la importancia de sensibilizar, culturalizar y crear conciencia sobre el cuidado del agua potable en la </w:t>
      </w:r>
      <w:r>
        <w:rPr>
          <w:sz w:val="22"/>
          <w:szCs w:val="22"/>
          <w:highlight w:val="white"/>
        </w:rPr>
        <w:t>ciudad de Bogotá.</w:t>
      </w:r>
    </w:p>
    <w:p w14:paraId="01F42B48" w14:textId="77777777" w:rsidR="005A0908" w:rsidRDefault="001832EC">
      <w:pPr>
        <w:numPr>
          <w:ilvl w:val="0"/>
          <w:numId w:val="3"/>
        </w:numPr>
        <w:ind w:right="600"/>
        <w:rPr>
          <w:sz w:val="22"/>
          <w:szCs w:val="22"/>
          <w:highlight w:val="white"/>
        </w:rPr>
      </w:pPr>
      <w:r>
        <w:rPr>
          <w:sz w:val="22"/>
          <w:szCs w:val="22"/>
          <w:highlight w:val="white"/>
        </w:rPr>
        <w:t xml:space="preserve">En aras de afrontar el cambio climático que es un problema, se deben implementar estrategias pedagógicas y de comunicación para el buen uso y </w:t>
      </w:r>
      <w:r>
        <w:rPr>
          <w:sz w:val="22"/>
          <w:szCs w:val="22"/>
          <w:highlight w:val="white"/>
        </w:rPr>
        <w:lastRenderedPageBreak/>
        <w:t>aprovechamiento de aguas lluvia y reciclaje de aguas domésticas en la ciudad de Bogotá.</w:t>
      </w:r>
    </w:p>
    <w:p w14:paraId="0F2D0D0D" w14:textId="77777777" w:rsidR="005A0908" w:rsidRDefault="001832EC">
      <w:pPr>
        <w:numPr>
          <w:ilvl w:val="0"/>
          <w:numId w:val="3"/>
        </w:numPr>
        <w:ind w:right="600"/>
        <w:rPr>
          <w:sz w:val="22"/>
          <w:szCs w:val="22"/>
          <w:highlight w:val="white"/>
        </w:rPr>
      </w:pPr>
      <w:r>
        <w:rPr>
          <w:sz w:val="22"/>
          <w:szCs w:val="22"/>
          <w:highlight w:val="white"/>
        </w:rPr>
        <w:t>Promover</w:t>
      </w:r>
      <w:r>
        <w:rPr>
          <w:sz w:val="22"/>
          <w:szCs w:val="22"/>
          <w:highlight w:val="white"/>
        </w:rPr>
        <w:t xml:space="preserve"> acciones tendientes a integrar a los ciudadanos, constructoras, industrias y estudiantes para el cuidado y la protección del agua potable como mínimo vital para la sociedad, el uso y aprovechamiento de agua lluvia y reciclaje de aguas domésticas.</w:t>
      </w:r>
    </w:p>
    <w:p w14:paraId="4E5A5F6D" w14:textId="77777777" w:rsidR="005A0908" w:rsidRDefault="001832EC">
      <w:pPr>
        <w:numPr>
          <w:ilvl w:val="0"/>
          <w:numId w:val="3"/>
        </w:numPr>
        <w:ind w:right="600"/>
        <w:rPr>
          <w:sz w:val="22"/>
          <w:szCs w:val="22"/>
          <w:highlight w:val="white"/>
        </w:rPr>
      </w:pPr>
      <w:r>
        <w:rPr>
          <w:sz w:val="22"/>
          <w:szCs w:val="22"/>
          <w:highlight w:val="white"/>
        </w:rPr>
        <w:t xml:space="preserve">La </w:t>
      </w:r>
      <w:r>
        <w:rPr>
          <w:sz w:val="22"/>
          <w:szCs w:val="22"/>
          <w:highlight w:val="white"/>
        </w:rPr>
        <w:t>entidad competente del distrito debe impulsará y fortalecerá campañas de educación sobre la racionalización de agua potable y el aprovechamiento de agua lluvia y reciclaje de aguas domésticas, con la finalidad de contribuir en la disminución de desperdicio</w:t>
      </w:r>
      <w:r>
        <w:rPr>
          <w:sz w:val="22"/>
          <w:szCs w:val="22"/>
          <w:highlight w:val="white"/>
        </w:rPr>
        <w:t xml:space="preserve"> de los recursos hídricos en la ciudad de Bogotá.</w:t>
      </w:r>
    </w:p>
    <w:p w14:paraId="7C0BAFD0" w14:textId="77777777" w:rsidR="005A0908" w:rsidRDefault="005A0908">
      <w:pPr>
        <w:ind w:right="600"/>
        <w:rPr>
          <w:sz w:val="22"/>
          <w:szCs w:val="22"/>
          <w:highlight w:val="white"/>
        </w:rPr>
      </w:pPr>
    </w:p>
    <w:p w14:paraId="6764A8E2" w14:textId="77777777" w:rsidR="005A0908" w:rsidRDefault="001832EC">
      <w:pPr>
        <w:ind w:right="600"/>
        <w:rPr>
          <w:sz w:val="22"/>
          <w:szCs w:val="22"/>
          <w:highlight w:val="white"/>
        </w:rPr>
      </w:pPr>
      <w:r>
        <w:rPr>
          <w:b/>
          <w:sz w:val="22"/>
          <w:szCs w:val="22"/>
          <w:highlight w:val="white"/>
        </w:rPr>
        <w:t>Artículo 4. Autonomía Escolar</w:t>
      </w:r>
      <w:r>
        <w:rPr>
          <w:sz w:val="22"/>
          <w:szCs w:val="22"/>
          <w:highlight w:val="white"/>
        </w:rPr>
        <w:t>. Las disposiciones establecidas en el presente Acuerdo se implementarán respetando la autonomía de las instituciones competentes del Distrito.</w:t>
      </w:r>
    </w:p>
    <w:p w14:paraId="1BAFDCB7" w14:textId="77777777" w:rsidR="005A0908" w:rsidRDefault="005A0908">
      <w:pPr>
        <w:ind w:right="600"/>
        <w:rPr>
          <w:sz w:val="22"/>
          <w:szCs w:val="22"/>
          <w:highlight w:val="white"/>
        </w:rPr>
      </w:pPr>
    </w:p>
    <w:p w14:paraId="44B32090" w14:textId="77777777" w:rsidR="005A0908" w:rsidRDefault="001832EC">
      <w:pPr>
        <w:ind w:right="600"/>
        <w:rPr>
          <w:sz w:val="22"/>
          <w:szCs w:val="22"/>
          <w:highlight w:val="white"/>
        </w:rPr>
      </w:pPr>
      <w:r>
        <w:rPr>
          <w:b/>
          <w:sz w:val="22"/>
          <w:szCs w:val="22"/>
          <w:highlight w:val="white"/>
        </w:rPr>
        <w:t>Artículo 5. Convenios Interinst</w:t>
      </w:r>
      <w:r>
        <w:rPr>
          <w:b/>
          <w:sz w:val="22"/>
          <w:szCs w:val="22"/>
          <w:highlight w:val="white"/>
        </w:rPr>
        <w:t>itucionales</w:t>
      </w:r>
      <w:r>
        <w:rPr>
          <w:sz w:val="22"/>
          <w:szCs w:val="22"/>
          <w:highlight w:val="white"/>
        </w:rPr>
        <w:t>. Las estrategias pedagógicas y de comunicación deberán ser realizadas con las entidades del Distrito que tiene el conocimiento de experticia en los temas de manejos de aguas como lo son la Secretaría Distrital de Ambiente y la Empresa de Acuedu</w:t>
      </w:r>
      <w:r>
        <w:rPr>
          <w:sz w:val="22"/>
          <w:szCs w:val="22"/>
          <w:highlight w:val="white"/>
        </w:rPr>
        <w:t>cto y Alcantarillado de Bogotá.</w:t>
      </w:r>
    </w:p>
    <w:p w14:paraId="26F5041D" w14:textId="77777777" w:rsidR="005A0908" w:rsidRDefault="005A0908">
      <w:pPr>
        <w:ind w:right="600"/>
        <w:rPr>
          <w:sz w:val="22"/>
          <w:szCs w:val="22"/>
          <w:highlight w:val="white"/>
        </w:rPr>
      </w:pPr>
    </w:p>
    <w:p w14:paraId="20AB912C" w14:textId="77777777" w:rsidR="005A0908" w:rsidRDefault="001832EC">
      <w:pPr>
        <w:ind w:right="600"/>
        <w:rPr>
          <w:sz w:val="22"/>
          <w:szCs w:val="22"/>
          <w:highlight w:val="white"/>
        </w:rPr>
      </w:pPr>
      <w:r>
        <w:rPr>
          <w:b/>
          <w:sz w:val="22"/>
          <w:szCs w:val="22"/>
          <w:highlight w:val="white"/>
        </w:rPr>
        <w:t>Artículo 6. Vigencia</w:t>
      </w:r>
      <w:r>
        <w:rPr>
          <w:sz w:val="22"/>
          <w:szCs w:val="22"/>
          <w:highlight w:val="white"/>
        </w:rPr>
        <w:t>. El presente Acuerdo Distrital rige a partir de la fecha de su publicación.</w:t>
      </w:r>
    </w:p>
    <w:p w14:paraId="70ED0725" w14:textId="77777777" w:rsidR="005A0908" w:rsidRDefault="005A0908">
      <w:pPr>
        <w:ind w:right="600"/>
        <w:rPr>
          <w:sz w:val="22"/>
          <w:szCs w:val="22"/>
          <w:highlight w:val="white"/>
        </w:rPr>
      </w:pPr>
    </w:p>
    <w:p w14:paraId="5037FF31" w14:textId="77777777" w:rsidR="005A0908" w:rsidRDefault="001832EC">
      <w:pPr>
        <w:spacing w:before="240" w:after="240"/>
        <w:jc w:val="center"/>
        <w:rPr>
          <w:b/>
          <w:sz w:val="22"/>
          <w:szCs w:val="22"/>
          <w:highlight w:val="white"/>
        </w:rPr>
      </w:pPr>
      <w:r>
        <w:rPr>
          <w:b/>
          <w:sz w:val="22"/>
          <w:szCs w:val="22"/>
          <w:highlight w:val="white"/>
        </w:rPr>
        <w:t>PUBLÍQUESE, COMUNÍQUESE Y CÚMPLASE</w:t>
      </w:r>
    </w:p>
    <w:p w14:paraId="0F45D23F" w14:textId="77777777" w:rsidR="005A0908" w:rsidRDefault="005A0908">
      <w:pPr>
        <w:spacing w:before="240" w:after="240"/>
        <w:rPr>
          <w:sz w:val="22"/>
          <w:szCs w:val="22"/>
          <w:highlight w:val="white"/>
        </w:rPr>
      </w:pPr>
    </w:p>
    <w:p w14:paraId="049F6D64" w14:textId="77777777" w:rsidR="005A0908" w:rsidRDefault="005A0908">
      <w:pPr>
        <w:spacing w:before="240" w:after="240"/>
        <w:rPr>
          <w:sz w:val="22"/>
          <w:szCs w:val="22"/>
          <w:highlight w:val="white"/>
        </w:rPr>
      </w:pPr>
    </w:p>
    <w:p w14:paraId="73345923" w14:textId="77777777" w:rsidR="005A0908" w:rsidRDefault="005A0908">
      <w:pPr>
        <w:spacing w:before="240" w:after="240"/>
        <w:rPr>
          <w:sz w:val="22"/>
          <w:szCs w:val="22"/>
          <w:highlight w:val="white"/>
        </w:rPr>
      </w:pPr>
    </w:p>
    <w:p w14:paraId="3A4C7C51" w14:textId="77777777" w:rsidR="005A0908" w:rsidRDefault="005A0908">
      <w:pPr>
        <w:spacing w:before="240" w:after="240"/>
        <w:rPr>
          <w:sz w:val="22"/>
          <w:szCs w:val="22"/>
          <w:highlight w:val="white"/>
        </w:rPr>
      </w:pPr>
    </w:p>
    <w:sectPr w:rsidR="005A0908">
      <w:headerReference w:type="default" r:id="rId9"/>
      <w:footerReference w:type="even" r:id="rId10"/>
      <w:footerReference w:type="default" r:id="rId11"/>
      <w:headerReference w:type="first" r:id="rId12"/>
      <w:pgSz w:w="12242" w:h="15842"/>
      <w:pgMar w:top="1701" w:right="1327" w:bottom="1701" w:left="1701" w:header="1134"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19A49" w14:textId="77777777" w:rsidR="008111D5" w:rsidRDefault="008111D5">
      <w:r>
        <w:separator/>
      </w:r>
    </w:p>
  </w:endnote>
  <w:endnote w:type="continuationSeparator" w:id="0">
    <w:p w14:paraId="52CF9522" w14:textId="77777777" w:rsidR="008111D5" w:rsidRDefault="00811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FAEEC" w14:textId="77777777" w:rsidR="005A0908" w:rsidRDefault="001832EC">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65D67E81" w14:textId="77777777" w:rsidR="005A0908" w:rsidRDefault="005A0908">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C9796" w14:textId="77777777" w:rsidR="005A0908" w:rsidRDefault="005A0908">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15218" w14:textId="77777777" w:rsidR="008111D5" w:rsidRDefault="008111D5">
      <w:r>
        <w:separator/>
      </w:r>
    </w:p>
  </w:footnote>
  <w:footnote w:type="continuationSeparator" w:id="0">
    <w:p w14:paraId="594810CB" w14:textId="77777777" w:rsidR="008111D5" w:rsidRDefault="008111D5">
      <w:r>
        <w:continuationSeparator/>
      </w:r>
    </w:p>
  </w:footnote>
  <w:footnote w:id="1">
    <w:p w14:paraId="07D30FCB" w14:textId="77777777" w:rsidR="005A0908" w:rsidRDefault="001832EC">
      <w:pPr>
        <w:rPr>
          <w:sz w:val="14"/>
          <w:szCs w:val="14"/>
        </w:rPr>
      </w:pPr>
      <w:r>
        <w:rPr>
          <w:vertAlign w:val="superscript"/>
        </w:rPr>
        <w:footnoteRef/>
      </w:r>
      <w:r>
        <w:rPr>
          <w:sz w:val="20"/>
          <w:szCs w:val="20"/>
        </w:rPr>
        <w:t xml:space="preserve"> </w:t>
      </w:r>
      <w:r>
        <w:rPr>
          <w:sz w:val="18"/>
          <w:szCs w:val="18"/>
        </w:rPr>
        <w:t xml:space="preserve">IDEAM. (2025). </w:t>
      </w:r>
      <w:r>
        <w:rPr>
          <w:i/>
          <w:sz w:val="18"/>
          <w:szCs w:val="18"/>
        </w:rPr>
        <w:t>Boletín climático mensual: resumen hidrológico para Bogotá y la región andina</w:t>
      </w:r>
      <w:r>
        <w:rPr>
          <w:sz w:val="18"/>
          <w:szCs w:val="18"/>
        </w:rPr>
        <w:t xml:space="preserve">. Instituto de Hidrología, Meteorología y Estudios Ambientales de Colombia. </w:t>
      </w:r>
    </w:p>
  </w:footnote>
  <w:footnote w:id="2">
    <w:p w14:paraId="47118B41" w14:textId="77777777" w:rsidR="005A0908" w:rsidRDefault="001832EC">
      <w:pPr>
        <w:rPr>
          <w:sz w:val="18"/>
          <w:szCs w:val="18"/>
        </w:rPr>
      </w:pPr>
      <w:r>
        <w:rPr>
          <w:vertAlign w:val="superscript"/>
        </w:rPr>
        <w:footnoteRef/>
      </w:r>
      <w:r>
        <w:rPr>
          <w:sz w:val="20"/>
          <w:szCs w:val="20"/>
        </w:rPr>
        <w:t xml:space="preserve"> </w:t>
      </w:r>
      <w:r>
        <w:rPr>
          <w:sz w:val="18"/>
          <w:szCs w:val="18"/>
        </w:rPr>
        <w:t>El Espectador. (2025). Embalses de Bogotá bajan a niveles críticos: Chingaza al 38%. https://www.elespectador.com</w:t>
      </w:r>
    </w:p>
  </w:footnote>
  <w:footnote w:id="3">
    <w:p w14:paraId="07181269" w14:textId="77777777" w:rsidR="005A0908" w:rsidRDefault="001832EC">
      <w:pPr>
        <w:rPr>
          <w:sz w:val="18"/>
          <w:szCs w:val="18"/>
        </w:rPr>
      </w:pPr>
      <w:r>
        <w:rPr>
          <w:vertAlign w:val="superscript"/>
        </w:rPr>
        <w:footnoteRef/>
      </w:r>
      <w:r>
        <w:rPr>
          <w:sz w:val="18"/>
          <w:szCs w:val="18"/>
        </w:rPr>
        <w:t xml:space="preserve"> Semana Sostenible. (2025). Bogotá: cronología del racionamien</w:t>
      </w:r>
      <w:r>
        <w:rPr>
          <w:sz w:val="18"/>
          <w:szCs w:val="18"/>
        </w:rPr>
        <w:t>to de agua y situación actual. https://www.semana.com</w:t>
      </w:r>
    </w:p>
  </w:footnote>
  <w:footnote w:id="4">
    <w:p w14:paraId="4186F8CC" w14:textId="77777777" w:rsidR="005A0908" w:rsidRDefault="001832EC">
      <w:pPr>
        <w:rPr>
          <w:sz w:val="18"/>
          <w:szCs w:val="18"/>
        </w:rPr>
      </w:pPr>
      <w:r>
        <w:rPr>
          <w:vertAlign w:val="superscript"/>
        </w:rPr>
        <w:footnoteRef/>
      </w:r>
      <w:r>
        <w:rPr>
          <w:sz w:val="18"/>
          <w:szCs w:val="18"/>
        </w:rPr>
        <w:t xml:space="preserve"> Secretaría Distrital del Hábitat. (2025). Programa piloto de aprovechamiento de agua lluvia en viviendas de interés social. https://www.habitatbogota.gov.co</w:t>
      </w:r>
    </w:p>
  </w:footnote>
  <w:footnote w:id="5">
    <w:p w14:paraId="72037BDA" w14:textId="77777777" w:rsidR="005A0908" w:rsidRDefault="001832EC">
      <w:pPr>
        <w:rPr>
          <w:sz w:val="18"/>
          <w:szCs w:val="18"/>
        </w:rPr>
      </w:pPr>
      <w:r>
        <w:rPr>
          <w:vertAlign w:val="superscript"/>
        </w:rPr>
        <w:footnoteRef/>
      </w:r>
      <w:r>
        <w:rPr>
          <w:sz w:val="20"/>
          <w:szCs w:val="20"/>
        </w:rPr>
        <w:t xml:space="preserve"> </w:t>
      </w:r>
      <w:r>
        <w:rPr>
          <w:sz w:val="18"/>
          <w:szCs w:val="18"/>
        </w:rPr>
        <w:t>Universidad Nacional de Colombia. Institu</w:t>
      </w:r>
      <w:r>
        <w:rPr>
          <w:sz w:val="18"/>
          <w:szCs w:val="18"/>
        </w:rPr>
        <w:t>to de Estudios Ambientales (IDEA). (2025). Estudio técnico sobre la reutilización de aguas grises en Bogotá: escenarios y beneficios.</w:t>
      </w:r>
    </w:p>
  </w:footnote>
  <w:footnote w:id="6">
    <w:p w14:paraId="0AB360EC" w14:textId="77777777" w:rsidR="005A0908" w:rsidRDefault="001832EC">
      <w:pPr>
        <w:rPr>
          <w:sz w:val="18"/>
          <w:szCs w:val="18"/>
        </w:rPr>
      </w:pPr>
      <w:r>
        <w:rPr>
          <w:vertAlign w:val="superscript"/>
        </w:rPr>
        <w:footnoteRef/>
      </w:r>
      <w:r>
        <w:rPr>
          <w:sz w:val="18"/>
          <w:szCs w:val="18"/>
        </w:rPr>
        <w:t xml:space="preserve"> Empresa de Acueducto y Alcantarillado de Bogotá (EAAB). (2025). Informe de gestión anual EAAB 2024-2025. https://www.acu</w:t>
      </w:r>
      <w:r>
        <w:rPr>
          <w:sz w:val="18"/>
          <w:szCs w:val="18"/>
        </w:rPr>
        <w:t>educto.com.co</w:t>
      </w:r>
    </w:p>
  </w:footnote>
  <w:footnote w:id="7">
    <w:p w14:paraId="1E99E1A1" w14:textId="77777777" w:rsidR="005A0908" w:rsidRDefault="001832EC">
      <w:pPr>
        <w:rPr>
          <w:sz w:val="18"/>
          <w:szCs w:val="18"/>
        </w:rPr>
      </w:pPr>
      <w:r>
        <w:rPr>
          <w:vertAlign w:val="superscript"/>
        </w:rPr>
        <w:footnoteRef/>
      </w:r>
      <w:r>
        <w:rPr>
          <w:sz w:val="20"/>
          <w:szCs w:val="20"/>
        </w:rPr>
        <w:t xml:space="preserve"> </w:t>
      </w:r>
      <w:r>
        <w:rPr>
          <w:sz w:val="18"/>
          <w:szCs w:val="18"/>
        </w:rPr>
        <w:t>Portafolio. (2025). Bogotá comienza a usar agua residual tratada para la industria. https://www.portafolio.co</w:t>
      </w:r>
    </w:p>
  </w:footnote>
  <w:footnote w:id="8">
    <w:p w14:paraId="10719131" w14:textId="77777777" w:rsidR="005A0908" w:rsidRDefault="001832EC">
      <w:pPr>
        <w:rPr>
          <w:sz w:val="18"/>
          <w:szCs w:val="18"/>
        </w:rPr>
      </w:pPr>
      <w:r>
        <w:rPr>
          <w:vertAlign w:val="superscript"/>
        </w:rPr>
        <w:footnoteRef/>
      </w:r>
      <w:r>
        <w:rPr>
          <w:sz w:val="18"/>
          <w:szCs w:val="18"/>
        </w:rPr>
        <w:t xml:space="preserve"> Alcaldía Mayor de Bogotá D.C. (2025). Informe sobre infraestructura verde y resiliencia hídrica en la ciudad. https://bogota.gov</w:t>
      </w:r>
      <w:r>
        <w:rPr>
          <w:sz w:val="18"/>
          <w:szCs w:val="18"/>
        </w:rPr>
        <w:t>.co</w:t>
      </w:r>
    </w:p>
  </w:footnote>
  <w:footnote w:id="9">
    <w:p w14:paraId="6FDBC503" w14:textId="77777777" w:rsidR="005A0908" w:rsidRDefault="001832EC">
      <w:pPr>
        <w:rPr>
          <w:sz w:val="18"/>
          <w:szCs w:val="18"/>
        </w:rPr>
      </w:pPr>
      <w:r>
        <w:rPr>
          <w:vertAlign w:val="superscript"/>
        </w:rPr>
        <w:footnoteRef/>
      </w:r>
      <w:r>
        <w:rPr>
          <w:sz w:val="20"/>
          <w:szCs w:val="20"/>
        </w:rPr>
        <w:t xml:space="preserve"> </w:t>
      </w:r>
      <w:r>
        <w:rPr>
          <w:sz w:val="18"/>
          <w:szCs w:val="18"/>
        </w:rPr>
        <w:t>El Tiempo. (2025). Edificios verdes en Bogotá: cómo reciclan el agua lluvia y ahorran millones de litros al año. https://www.eltiempo.com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2D1D0" w14:textId="77777777" w:rsidR="005A0908" w:rsidRDefault="005A0908">
    <w:pPr>
      <w:widowControl w:val="0"/>
      <w:spacing w:line="276" w:lineRule="auto"/>
      <w:rPr>
        <w:sz w:val="20"/>
        <w:szCs w:val="20"/>
      </w:rPr>
    </w:pPr>
  </w:p>
  <w:tbl>
    <w:tblPr>
      <w:tblStyle w:val="a"/>
      <w:tblW w:w="8835" w:type="dxa"/>
      <w:tblInd w:w="0" w:type="dxa"/>
      <w:tblLayout w:type="fixed"/>
      <w:tblLook w:val="0000" w:firstRow="0" w:lastRow="0" w:firstColumn="0" w:lastColumn="0" w:noHBand="0" w:noVBand="0"/>
    </w:tblPr>
    <w:tblGrid>
      <w:gridCol w:w="2010"/>
      <w:gridCol w:w="4230"/>
      <w:gridCol w:w="2595"/>
    </w:tblGrid>
    <w:tr w:rsidR="005A0908" w14:paraId="296D9CF6" w14:textId="77777777">
      <w:trPr>
        <w:trHeight w:val="454"/>
      </w:trPr>
      <w:tc>
        <w:tcPr>
          <w:tcW w:w="2010"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80" w:type="dxa"/>
            <w:bottom w:w="0" w:type="dxa"/>
            <w:right w:w="80" w:type="dxa"/>
          </w:tcMar>
        </w:tcPr>
        <w:p w14:paraId="0947EB83" w14:textId="77777777" w:rsidR="005A0908" w:rsidRDefault="001832EC">
          <w:pPr>
            <w:spacing w:before="240" w:after="240"/>
            <w:jc w:val="center"/>
            <w:rPr>
              <w:sz w:val="16"/>
              <w:szCs w:val="16"/>
            </w:rPr>
          </w:pPr>
          <w:r>
            <w:rPr>
              <w:sz w:val="16"/>
              <w:szCs w:val="16"/>
            </w:rPr>
            <w:t xml:space="preserve"> </w:t>
          </w:r>
          <w:r>
            <w:rPr>
              <w:noProof/>
            </w:rPr>
            <w:drawing>
              <wp:anchor distT="0" distB="0" distL="0" distR="0" simplePos="0" relativeHeight="251658240" behindDoc="1" locked="0" layoutInCell="1" hidden="0" allowOverlap="1" wp14:anchorId="5BDBDB3C" wp14:editId="1C76777F">
                <wp:simplePos x="0" y="0"/>
                <wp:positionH relativeFrom="column">
                  <wp:posOffset>247650</wp:posOffset>
                </wp:positionH>
                <wp:positionV relativeFrom="paragraph">
                  <wp:posOffset>180975</wp:posOffset>
                </wp:positionV>
                <wp:extent cx="752475" cy="88582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0" w:type="dxa"/>
          <w:tcBorders>
            <w:top w:val="single" w:sz="6" w:space="0" w:color="000000"/>
            <w:left w:val="nil"/>
            <w:bottom w:val="single" w:sz="6" w:space="0" w:color="000000"/>
            <w:right w:val="single" w:sz="6" w:space="0" w:color="000000"/>
          </w:tcBorders>
          <w:shd w:val="clear" w:color="auto" w:fill="auto"/>
          <w:tcMar>
            <w:top w:w="0" w:type="dxa"/>
            <w:left w:w="80" w:type="dxa"/>
            <w:bottom w:w="0" w:type="dxa"/>
            <w:right w:w="80" w:type="dxa"/>
          </w:tcMar>
        </w:tcPr>
        <w:p w14:paraId="2722B6FD" w14:textId="77777777" w:rsidR="005A0908" w:rsidRDefault="001832EC">
          <w:pPr>
            <w:spacing w:before="240" w:after="240"/>
            <w:jc w:val="center"/>
            <w:rPr>
              <w:sz w:val="18"/>
              <w:szCs w:val="18"/>
            </w:rPr>
          </w:pPr>
          <w:r>
            <w:rPr>
              <w:sz w:val="18"/>
              <w:szCs w:val="18"/>
            </w:rPr>
            <w:t xml:space="preserve">PROCESO </w:t>
          </w:r>
          <w:r>
            <w:rPr>
              <w:sz w:val="18"/>
              <w:szCs w:val="18"/>
            </w:rPr>
            <w:t>GESTIÓN NORMATIVA</w:t>
          </w:r>
        </w:p>
      </w:tc>
      <w:tc>
        <w:tcPr>
          <w:tcW w:w="2595" w:type="dxa"/>
          <w:tcBorders>
            <w:top w:val="single" w:sz="6" w:space="0" w:color="000000"/>
            <w:left w:val="nil"/>
            <w:bottom w:val="single" w:sz="6" w:space="0" w:color="000000"/>
            <w:right w:val="single" w:sz="6" w:space="0" w:color="000000"/>
          </w:tcBorders>
          <w:shd w:val="clear" w:color="auto" w:fill="auto"/>
          <w:tcMar>
            <w:top w:w="0" w:type="dxa"/>
            <w:left w:w="80" w:type="dxa"/>
            <w:bottom w:w="0" w:type="dxa"/>
            <w:right w:w="80" w:type="dxa"/>
          </w:tcMar>
        </w:tcPr>
        <w:p w14:paraId="79D2DCCD" w14:textId="77777777" w:rsidR="005A0908" w:rsidRDefault="001832EC">
          <w:pPr>
            <w:spacing w:before="200"/>
            <w:rPr>
              <w:sz w:val="16"/>
              <w:szCs w:val="16"/>
            </w:rPr>
          </w:pPr>
          <w:r>
            <w:rPr>
              <w:sz w:val="16"/>
              <w:szCs w:val="16"/>
            </w:rPr>
            <w:t>CÓDIGO</w:t>
          </w:r>
          <w:r>
            <w:rPr>
              <w:color w:val="3366FF"/>
              <w:sz w:val="16"/>
              <w:szCs w:val="16"/>
            </w:rPr>
            <w:t xml:space="preserve">: </w:t>
          </w:r>
          <w:r>
            <w:rPr>
              <w:sz w:val="16"/>
              <w:szCs w:val="16"/>
            </w:rPr>
            <w:t>GNV-FO-003</w:t>
          </w:r>
        </w:p>
      </w:tc>
    </w:tr>
    <w:tr w:rsidR="005A0908" w14:paraId="098873AD" w14:textId="77777777">
      <w:trPr>
        <w:trHeight w:val="528"/>
      </w:trPr>
      <w:tc>
        <w:tcPr>
          <w:tcW w:w="201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80" w:type="dxa"/>
            <w:bottom w:w="0" w:type="dxa"/>
            <w:right w:w="80" w:type="dxa"/>
          </w:tcMar>
        </w:tcPr>
        <w:p w14:paraId="6D2B3FD6" w14:textId="77777777" w:rsidR="005A0908" w:rsidRDefault="005A0908">
          <w:pPr>
            <w:widowControl w:val="0"/>
            <w:pBdr>
              <w:top w:val="nil"/>
              <w:left w:val="nil"/>
              <w:bottom w:val="nil"/>
              <w:right w:val="nil"/>
              <w:between w:val="nil"/>
            </w:pBdr>
            <w:spacing w:line="276" w:lineRule="auto"/>
            <w:jc w:val="left"/>
            <w:rPr>
              <w:sz w:val="16"/>
              <w:szCs w:val="16"/>
            </w:rPr>
          </w:pPr>
        </w:p>
      </w:tc>
      <w:tc>
        <w:tcPr>
          <w:tcW w:w="4230" w:type="dxa"/>
          <w:vMerge w:val="restart"/>
          <w:tcBorders>
            <w:top w:val="nil"/>
            <w:left w:val="nil"/>
            <w:bottom w:val="single" w:sz="6" w:space="0" w:color="000000"/>
            <w:right w:val="single" w:sz="6" w:space="0" w:color="000000"/>
          </w:tcBorders>
          <w:shd w:val="clear" w:color="auto" w:fill="auto"/>
          <w:tcMar>
            <w:top w:w="0" w:type="dxa"/>
            <w:left w:w="80" w:type="dxa"/>
            <w:bottom w:w="0" w:type="dxa"/>
            <w:right w:w="80" w:type="dxa"/>
          </w:tcMar>
          <w:vAlign w:val="center"/>
        </w:tcPr>
        <w:p w14:paraId="2F3CF6F8" w14:textId="77777777" w:rsidR="005A0908" w:rsidRDefault="001832EC">
          <w:pPr>
            <w:jc w:val="center"/>
            <w:rPr>
              <w:sz w:val="20"/>
              <w:szCs w:val="20"/>
            </w:rPr>
          </w:pPr>
          <w:r>
            <w:rPr>
              <w:sz w:val="20"/>
              <w:szCs w:val="20"/>
            </w:rPr>
            <w:t>PRESENTACIÓN PONENCIAS</w:t>
          </w:r>
        </w:p>
      </w:tc>
      <w:tc>
        <w:tcPr>
          <w:tcW w:w="2595" w:type="dxa"/>
          <w:tcBorders>
            <w:top w:val="nil"/>
            <w:left w:val="nil"/>
            <w:bottom w:val="single" w:sz="6" w:space="0" w:color="000000"/>
            <w:right w:val="single" w:sz="6" w:space="0" w:color="000000"/>
          </w:tcBorders>
          <w:shd w:val="clear" w:color="auto" w:fill="auto"/>
          <w:tcMar>
            <w:top w:w="0" w:type="dxa"/>
            <w:left w:w="80" w:type="dxa"/>
            <w:bottom w:w="0" w:type="dxa"/>
            <w:right w:w="80" w:type="dxa"/>
          </w:tcMar>
        </w:tcPr>
        <w:p w14:paraId="50DB563E" w14:textId="77777777" w:rsidR="005A0908" w:rsidRDefault="001832EC">
          <w:pPr>
            <w:spacing w:before="200"/>
            <w:rPr>
              <w:sz w:val="16"/>
              <w:szCs w:val="16"/>
            </w:rPr>
          </w:pPr>
          <w:r>
            <w:rPr>
              <w:sz w:val="16"/>
              <w:szCs w:val="16"/>
            </w:rPr>
            <w:t>VERSIÓN:</w:t>
          </w:r>
          <w:r>
            <w:rPr>
              <w:sz w:val="16"/>
              <w:szCs w:val="16"/>
            </w:rPr>
            <w:tab/>
            <w:t>01</w:t>
          </w:r>
        </w:p>
      </w:tc>
    </w:tr>
    <w:tr w:rsidR="005A0908" w14:paraId="75825DDC" w14:textId="77777777">
      <w:trPr>
        <w:trHeight w:val="183"/>
      </w:trPr>
      <w:tc>
        <w:tcPr>
          <w:tcW w:w="201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80" w:type="dxa"/>
            <w:bottom w:w="0" w:type="dxa"/>
            <w:right w:w="80" w:type="dxa"/>
          </w:tcMar>
        </w:tcPr>
        <w:p w14:paraId="52CA5D95" w14:textId="77777777" w:rsidR="005A0908" w:rsidRDefault="005A0908">
          <w:pPr>
            <w:widowControl w:val="0"/>
            <w:pBdr>
              <w:top w:val="nil"/>
              <w:left w:val="nil"/>
              <w:bottom w:val="nil"/>
              <w:right w:val="nil"/>
              <w:between w:val="nil"/>
            </w:pBdr>
            <w:spacing w:line="276" w:lineRule="auto"/>
            <w:jc w:val="left"/>
            <w:rPr>
              <w:sz w:val="16"/>
              <w:szCs w:val="16"/>
            </w:rPr>
          </w:pPr>
        </w:p>
      </w:tc>
      <w:tc>
        <w:tcPr>
          <w:tcW w:w="4230" w:type="dxa"/>
          <w:vMerge/>
          <w:tcBorders>
            <w:top w:val="nil"/>
            <w:left w:val="nil"/>
            <w:bottom w:val="single" w:sz="6" w:space="0" w:color="000000"/>
            <w:right w:val="single" w:sz="6" w:space="0" w:color="000000"/>
          </w:tcBorders>
          <w:shd w:val="clear" w:color="auto" w:fill="auto"/>
          <w:tcMar>
            <w:top w:w="0" w:type="dxa"/>
            <w:left w:w="80" w:type="dxa"/>
            <w:bottom w:w="0" w:type="dxa"/>
            <w:right w:w="80" w:type="dxa"/>
          </w:tcMar>
          <w:vAlign w:val="center"/>
        </w:tcPr>
        <w:p w14:paraId="3874FDA3" w14:textId="77777777" w:rsidR="005A0908" w:rsidRDefault="005A0908">
          <w:pPr>
            <w:widowControl w:val="0"/>
            <w:pBdr>
              <w:top w:val="nil"/>
              <w:left w:val="nil"/>
              <w:bottom w:val="nil"/>
              <w:right w:val="nil"/>
              <w:between w:val="nil"/>
            </w:pBdr>
            <w:spacing w:line="276" w:lineRule="auto"/>
            <w:jc w:val="left"/>
            <w:rPr>
              <w:sz w:val="16"/>
              <w:szCs w:val="16"/>
            </w:rPr>
          </w:pPr>
        </w:p>
      </w:tc>
      <w:tc>
        <w:tcPr>
          <w:tcW w:w="2595" w:type="dxa"/>
          <w:tcBorders>
            <w:top w:val="nil"/>
            <w:left w:val="nil"/>
            <w:bottom w:val="single" w:sz="6" w:space="0" w:color="000000"/>
            <w:right w:val="single" w:sz="6" w:space="0" w:color="000000"/>
          </w:tcBorders>
          <w:shd w:val="clear" w:color="auto" w:fill="auto"/>
          <w:tcMar>
            <w:top w:w="0" w:type="dxa"/>
            <w:left w:w="80" w:type="dxa"/>
            <w:bottom w:w="0" w:type="dxa"/>
            <w:right w:w="80" w:type="dxa"/>
          </w:tcMar>
        </w:tcPr>
        <w:p w14:paraId="7B332E41" w14:textId="77777777" w:rsidR="005A0908" w:rsidRDefault="001832EC">
          <w:pPr>
            <w:spacing w:before="200" w:after="200"/>
            <w:rPr>
              <w:sz w:val="16"/>
              <w:szCs w:val="16"/>
            </w:rPr>
          </w:pPr>
          <w:r>
            <w:rPr>
              <w:sz w:val="16"/>
              <w:szCs w:val="16"/>
            </w:rPr>
            <w:t>FECHA: 14-Nov-2019</w:t>
          </w:r>
        </w:p>
      </w:tc>
    </w:tr>
  </w:tbl>
  <w:p w14:paraId="2557B0A4" w14:textId="77777777" w:rsidR="005A0908" w:rsidRDefault="005A0908">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AE9FA" w14:textId="77777777" w:rsidR="005A0908" w:rsidRDefault="005A0908">
    <w:pPr>
      <w:tabs>
        <w:tab w:val="center" w:pos="4252"/>
        <w:tab w:val="right" w:pos="850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434C0"/>
    <w:multiLevelType w:val="multilevel"/>
    <w:tmpl w:val="EE084958"/>
    <w:lvl w:ilvl="0">
      <w:start w:val="1"/>
      <w:numFmt w:val="lowerLetter"/>
      <w:lvlText w:val="%1."/>
      <w:lvlJc w:val="left"/>
      <w:pPr>
        <w:ind w:left="720" w:hanging="360"/>
      </w:pPr>
      <w:rPr>
        <w:rFonts w:ascii="Arial" w:eastAsia="Arial" w:hAnsi="Arial" w:cs="Arial"/>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2E6F2612"/>
    <w:multiLevelType w:val="multilevel"/>
    <w:tmpl w:val="4EC2FDB6"/>
    <w:lvl w:ilvl="0">
      <w:start w:val="2"/>
      <w:numFmt w:val="upperRoman"/>
      <w:lvlText w:val="%1."/>
      <w:lvlJc w:val="right"/>
      <w:pPr>
        <w:ind w:left="1080" w:hanging="720"/>
      </w:pPr>
      <w:rPr>
        <w:b/>
      </w:rPr>
    </w:lvl>
    <w:lvl w:ilvl="1">
      <w:start w:val="1"/>
      <w:numFmt w:val="upperLetter"/>
      <w:lvlText w:val="%2."/>
      <w:lvlJc w:val="left"/>
      <w:pPr>
        <w:ind w:left="1440" w:hanging="360"/>
      </w:pPr>
    </w:lvl>
    <w:lvl w:ilvl="2">
      <w:start w:val="1"/>
      <w:numFmt w:val="decimal"/>
      <w:lvlText w:val="%3."/>
      <w:lvlJc w:val="left"/>
      <w:pPr>
        <w:ind w:left="2160" w:hanging="180"/>
      </w:p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Letter"/>
      <w:lvlText w:val="(%6)"/>
      <w:lvlJc w:val="left"/>
      <w:pPr>
        <w:ind w:left="4320" w:hanging="180"/>
      </w:pPr>
    </w:lvl>
    <w:lvl w:ilvl="6">
      <w:start w:val="1"/>
      <w:numFmt w:val="lowerRoman"/>
      <w:lvlText w:val="(%7)"/>
      <w:lvlJc w:val="righ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AD03A6"/>
    <w:multiLevelType w:val="multilevel"/>
    <w:tmpl w:val="5D14218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08"/>
    <w:rsid w:val="001832EC"/>
    <w:rsid w:val="005A0908"/>
    <w:rsid w:val="008111D5"/>
    <w:rsid w:val="008B2AA3"/>
    <w:rsid w:val="00F822F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18F76"/>
  <w15:docId w15:val="{26AF2E55-E055-4D79-8198-47929AAC7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CO" w:eastAsia="es-CO"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style>
  <w:style w:type="paragraph" w:styleId="Ttulo2">
    <w:name w:val="heading 2"/>
    <w:basedOn w:val="Normal"/>
    <w:next w:val="Normal"/>
    <w:uiPriority w:val="9"/>
    <w:semiHidden/>
    <w:unhideWhenUsed/>
    <w:qFormat/>
    <w:pPr>
      <w:keepNext/>
      <w:outlineLvl w:val="1"/>
    </w:pPr>
  </w:style>
  <w:style w:type="paragraph" w:styleId="Ttulo3">
    <w:name w:val="heading 3"/>
    <w:basedOn w:val="Normal"/>
    <w:next w:val="Normal"/>
    <w:uiPriority w:val="9"/>
    <w:semiHidden/>
    <w:unhideWhenUsed/>
    <w:qFormat/>
    <w:pPr>
      <w:keepNext/>
      <w:keepLines/>
      <w:spacing w:before="40"/>
      <w:outlineLvl w:val="2"/>
    </w:pPr>
    <w:rPr>
      <w:rFonts w:ascii="Cambria" w:eastAsia="Cambria" w:hAnsi="Cambria" w:cs="Cambria"/>
      <w:color w:val="243F61"/>
    </w:rPr>
  </w:style>
  <w:style w:type="paragraph" w:styleId="Ttulo4">
    <w:name w:val="heading 4"/>
    <w:basedOn w:val="Normal"/>
    <w:next w:val="Normal"/>
    <w:uiPriority w:val="9"/>
    <w:semiHidden/>
    <w:unhideWhenUsed/>
    <w:qFormat/>
    <w:pPr>
      <w:keepNext/>
      <w:spacing w:before="240" w:after="60"/>
      <w:outlineLvl w:val="3"/>
    </w:pPr>
    <w:rPr>
      <w:b/>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jc w:val="center"/>
    </w:pPr>
    <w:rPr>
      <w:rFonts w:ascii="Cambria" w:eastAsia="Cambria" w:hAnsi="Cambria" w:cs="Cambria"/>
      <w:b/>
      <w:sz w:val="32"/>
      <w:szCs w:val="32"/>
    </w:rPr>
  </w:style>
  <w:style w:type="paragraph" w:styleId="Subttulo">
    <w:name w:val="Subtitle"/>
    <w:basedOn w:val="Normal"/>
    <w:next w:val="Normal"/>
    <w:uiPriority w:val="11"/>
    <w:qFormat/>
    <w:pPr>
      <w:keepNext/>
      <w:keepLines/>
      <w:pBdr>
        <w:top w:val="nil"/>
        <w:left w:val="nil"/>
        <w:bottom w:val="nil"/>
        <w:right w:val="nil"/>
        <w:between w:val="nil"/>
      </w:pBdr>
      <w:spacing w:before="360" w:after="80"/>
      <w:jc w:val="left"/>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cPr>
      <w:shd w:val="clear" w:color="auto" w:fill="E6E6E6"/>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2984</Words>
  <Characters>16413</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INES CELY LUNA</dc:creator>
  <cp:lastModifiedBy>GLORIA INES CELY LUNA</cp:lastModifiedBy>
  <cp:revision>2</cp:revision>
  <dcterms:created xsi:type="dcterms:W3CDTF">2025-06-09T14:09:00Z</dcterms:created>
  <dcterms:modified xsi:type="dcterms:W3CDTF">2025-06-09T14:09:00Z</dcterms:modified>
</cp:coreProperties>
</file>